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08E" w:rsidRPr="0086108E" w:rsidRDefault="0086108E" w:rsidP="0086108E">
      <w:pPr>
        <w:spacing w:after="120"/>
        <w:rPr>
          <w:rFonts w:ascii="Times New Roman" w:hAnsi="Times New Roman" w:cs="Times New Roman"/>
          <w:b/>
          <w:color w:val="1F497D" w:themeColor="text2"/>
          <w:sz w:val="28"/>
          <w:szCs w:val="26"/>
        </w:rPr>
      </w:pPr>
      <w:r w:rsidRPr="0086108E">
        <w:rPr>
          <w:rFonts w:ascii="Times New Roman" w:hAnsi="Times New Roman" w:cs="Times New Roman"/>
          <w:b/>
          <w:bCs/>
          <w:noProof/>
          <w:sz w:val="28"/>
          <w:szCs w:val="27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2CAEF507" wp14:editId="4EFADD7E">
            <wp:simplePos x="722630" y="722630"/>
            <wp:positionH relativeFrom="margin">
              <wp:align>left</wp:align>
            </wp:positionH>
            <wp:positionV relativeFrom="margin">
              <wp:posOffset>379848</wp:posOffset>
            </wp:positionV>
            <wp:extent cx="6301105" cy="1005205"/>
            <wp:effectExtent l="0" t="0" r="4445" b="444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iex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1005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108E" w:rsidRPr="0086108E" w:rsidRDefault="0086108E" w:rsidP="0086108E">
      <w:pPr>
        <w:spacing w:after="120"/>
        <w:rPr>
          <w:rFonts w:ascii="Times New Roman" w:hAnsi="Times New Roman" w:cs="Times New Roman"/>
          <w:b/>
          <w:color w:val="1F497D" w:themeColor="text2"/>
          <w:sz w:val="28"/>
          <w:szCs w:val="26"/>
        </w:rPr>
      </w:pPr>
    </w:p>
    <w:p w:rsidR="0086108E" w:rsidRPr="0086108E" w:rsidRDefault="0086108E" w:rsidP="0086108E">
      <w:pPr>
        <w:spacing w:after="120"/>
        <w:jc w:val="center"/>
        <w:rPr>
          <w:rFonts w:cs="Times New Roman"/>
          <w:b/>
          <w:color w:val="1F497D" w:themeColor="text2"/>
          <w:sz w:val="28"/>
          <w:szCs w:val="26"/>
        </w:rPr>
      </w:pPr>
      <w:r w:rsidRPr="0086108E">
        <w:rPr>
          <w:rFonts w:cs="Times New Roman"/>
          <w:b/>
          <w:color w:val="1F497D" w:themeColor="text2"/>
          <w:sz w:val="28"/>
          <w:szCs w:val="26"/>
        </w:rPr>
        <w:t>ІНФОРМАЦІЙНО-СТАТИСТИЧНА ДОВІДКА ЩОДО ВИКОРИСТАННЯ ТА</w:t>
      </w:r>
      <w:r w:rsidRPr="0086108E">
        <w:rPr>
          <w:rFonts w:cs="Times New Roman"/>
          <w:b/>
          <w:color w:val="1F497D" w:themeColor="text2"/>
          <w:sz w:val="28"/>
          <w:szCs w:val="26"/>
        </w:rPr>
        <w:br/>
        <w:t>РЕАЛІЗАЦІЇ ІНСТРУМЕНТУ ІНСТИТУЦІОНАЛЬНОЇ РОЗБУДОВИ ТАІЕХ В УКРАЇНІ</w:t>
      </w:r>
    </w:p>
    <w:p w:rsidR="0086108E" w:rsidRPr="0086108E" w:rsidRDefault="0086108E" w:rsidP="0086108E">
      <w:pPr>
        <w:spacing w:after="120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86108E">
        <w:rPr>
          <w:rFonts w:ascii="Times New Roman" w:hAnsi="Times New Roman" w:cs="Times New Roman"/>
          <w:b/>
          <w:bCs/>
          <w:sz w:val="25"/>
          <w:szCs w:val="25"/>
        </w:rPr>
        <w:t>TAIEX (</w:t>
      </w:r>
      <w:proofErr w:type="spellStart"/>
      <w:r w:rsidRPr="0086108E">
        <w:rPr>
          <w:rFonts w:ascii="Times New Roman" w:hAnsi="Times New Roman" w:cs="Times New Roman"/>
          <w:b/>
          <w:bCs/>
          <w:sz w:val="25"/>
          <w:szCs w:val="25"/>
        </w:rPr>
        <w:t>Technical</w:t>
      </w:r>
      <w:proofErr w:type="spellEnd"/>
      <w:r w:rsidRPr="0086108E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proofErr w:type="spellStart"/>
      <w:r w:rsidRPr="0086108E">
        <w:rPr>
          <w:rFonts w:ascii="Times New Roman" w:hAnsi="Times New Roman" w:cs="Times New Roman"/>
          <w:b/>
          <w:bCs/>
          <w:sz w:val="25"/>
          <w:szCs w:val="25"/>
        </w:rPr>
        <w:t>Assistance</w:t>
      </w:r>
      <w:proofErr w:type="spellEnd"/>
      <w:r w:rsidRPr="0086108E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proofErr w:type="spellStart"/>
      <w:r w:rsidRPr="0086108E">
        <w:rPr>
          <w:rFonts w:ascii="Times New Roman" w:hAnsi="Times New Roman" w:cs="Times New Roman"/>
          <w:b/>
          <w:bCs/>
          <w:sz w:val="25"/>
          <w:szCs w:val="25"/>
        </w:rPr>
        <w:t>Information</w:t>
      </w:r>
      <w:proofErr w:type="spellEnd"/>
      <w:r w:rsidRPr="0086108E">
        <w:rPr>
          <w:rFonts w:ascii="Times New Roman" w:hAnsi="Times New Roman" w:cs="Times New Roman"/>
          <w:b/>
          <w:bCs/>
          <w:sz w:val="25"/>
          <w:szCs w:val="25"/>
        </w:rPr>
        <w:t xml:space="preserve"> Exchange)</w:t>
      </w:r>
      <w:r w:rsidRPr="0086108E">
        <w:rPr>
          <w:rFonts w:ascii="Times New Roman" w:hAnsi="Times New Roman" w:cs="Times New Roman"/>
          <w:bCs/>
          <w:sz w:val="25"/>
          <w:szCs w:val="25"/>
        </w:rPr>
        <w:t xml:space="preserve"> – це інструмент технічної допомоги та обміну інформацією, що надається Європейською Комісією з метою розбудови інституціональної спроможності, наближення національного законодавства до законодавства Європейського Союзу, його імплементації та подальшого ефективного використання.</w:t>
      </w:r>
    </w:p>
    <w:p w:rsidR="0086108E" w:rsidRPr="0086108E" w:rsidRDefault="0086108E" w:rsidP="0086108E">
      <w:pPr>
        <w:spacing w:after="120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86108E">
        <w:rPr>
          <w:rFonts w:ascii="Times New Roman" w:hAnsi="Times New Roman" w:cs="Times New Roman"/>
          <w:b/>
          <w:bCs/>
          <w:sz w:val="25"/>
          <w:szCs w:val="25"/>
        </w:rPr>
        <w:t xml:space="preserve">ТАІЕХ </w:t>
      </w:r>
      <w:r w:rsidRPr="0086108E">
        <w:rPr>
          <w:rFonts w:ascii="Times New Roman" w:hAnsi="Times New Roman" w:cs="Times New Roman"/>
          <w:bCs/>
          <w:sz w:val="25"/>
          <w:szCs w:val="25"/>
        </w:rPr>
        <w:t>є одним із найбільш поширених, ефективних та доступних серед усіх можливих інструментів допомоги Європейського Союзу.</w:t>
      </w:r>
    </w:p>
    <w:p w:rsidR="0086108E" w:rsidRPr="0086108E" w:rsidRDefault="0086108E" w:rsidP="0086108E">
      <w:pPr>
        <w:spacing w:after="120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86108E">
        <w:rPr>
          <w:rFonts w:ascii="Times New Roman" w:hAnsi="Times New Roman" w:cs="Times New Roman"/>
          <w:bCs/>
          <w:sz w:val="25"/>
          <w:szCs w:val="25"/>
        </w:rPr>
        <w:t>Інструмент технічної допомоги та обміну інформацією (TAIEX) був заснований Генеральним Директоратом Європейської Комісії з питань сусідства та пер</w:t>
      </w:r>
      <w:r w:rsidR="000D4608">
        <w:rPr>
          <w:rFonts w:ascii="Times New Roman" w:hAnsi="Times New Roman" w:cs="Times New Roman"/>
          <w:bCs/>
          <w:sz w:val="25"/>
          <w:szCs w:val="25"/>
        </w:rPr>
        <w:t>еговорів щодо розширення у 1996 </w:t>
      </w:r>
      <w:r w:rsidRPr="0086108E">
        <w:rPr>
          <w:rFonts w:ascii="Times New Roman" w:hAnsi="Times New Roman" w:cs="Times New Roman"/>
          <w:bCs/>
          <w:sz w:val="25"/>
          <w:szCs w:val="25"/>
        </w:rPr>
        <w:t xml:space="preserve">році для того, щоб допомоги країнам у стислі терміни привести національне законодавство у відповідність до стандартів ЄС та забезпечити виконання законодавчих норм. Завдання ТАІЕХ полягає в спрощеному механізмі передачі інформації та обміні передовим досвідом між країнами-членами Європейського Союзу та </w:t>
      </w:r>
      <w:proofErr w:type="spellStart"/>
      <w:r w:rsidRPr="0086108E">
        <w:rPr>
          <w:rFonts w:ascii="Times New Roman" w:hAnsi="Times New Roman" w:cs="Times New Roman"/>
          <w:bCs/>
          <w:sz w:val="25"/>
          <w:szCs w:val="25"/>
        </w:rPr>
        <w:t>країнами-бенефіціарами</w:t>
      </w:r>
      <w:proofErr w:type="spellEnd"/>
      <w:r w:rsidRPr="0086108E">
        <w:rPr>
          <w:rFonts w:ascii="Times New Roman" w:hAnsi="Times New Roman" w:cs="Times New Roman"/>
          <w:bCs/>
          <w:sz w:val="25"/>
          <w:szCs w:val="25"/>
        </w:rPr>
        <w:t xml:space="preserve"> (країнами-кандидатами, країнами Західних </w:t>
      </w:r>
      <w:proofErr w:type="spellStart"/>
      <w:r w:rsidRPr="0086108E">
        <w:rPr>
          <w:rFonts w:ascii="Times New Roman" w:hAnsi="Times New Roman" w:cs="Times New Roman"/>
          <w:bCs/>
          <w:sz w:val="25"/>
          <w:szCs w:val="25"/>
        </w:rPr>
        <w:t>Балканів</w:t>
      </w:r>
      <w:proofErr w:type="spellEnd"/>
      <w:r w:rsidRPr="0086108E">
        <w:rPr>
          <w:rFonts w:ascii="Times New Roman" w:hAnsi="Times New Roman" w:cs="Times New Roman"/>
          <w:bCs/>
          <w:sz w:val="25"/>
          <w:szCs w:val="25"/>
        </w:rPr>
        <w:t xml:space="preserve"> та країнами Європейської політики сусідства). Україна почала використовувати інструмент TAIEX з 2006 року.</w:t>
      </w:r>
    </w:p>
    <w:p w:rsidR="0086108E" w:rsidRPr="0086108E" w:rsidRDefault="0086108E" w:rsidP="0086108E">
      <w:pPr>
        <w:spacing w:after="120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86108E">
        <w:rPr>
          <w:rFonts w:ascii="Times New Roman" w:hAnsi="Times New Roman" w:cs="Times New Roman"/>
          <w:bCs/>
          <w:sz w:val="25"/>
          <w:szCs w:val="25"/>
        </w:rPr>
        <w:t xml:space="preserve">Визначальними рисами інструменту TAIEX є </w:t>
      </w:r>
      <w:proofErr w:type="spellStart"/>
      <w:r w:rsidRPr="0086108E">
        <w:rPr>
          <w:rFonts w:ascii="Times New Roman" w:hAnsi="Times New Roman" w:cs="Times New Roman"/>
          <w:bCs/>
          <w:sz w:val="25"/>
          <w:szCs w:val="25"/>
        </w:rPr>
        <w:t>сфокусованість</w:t>
      </w:r>
      <w:proofErr w:type="spellEnd"/>
      <w:r w:rsidRPr="0086108E">
        <w:rPr>
          <w:rFonts w:ascii="Times New Roman" w:hAnsi="Times New Roman" w:cs="Times New Roman"/>
          <w:bCs/>
          <w:sz w:val="25"/>
          <w:szCs w:val="25"/>
        </w:rPr>
        <w:t xml:space="preserve"> на розв’язанні конкретних проблем розвитку та інтеграції, що вимагає від адміністрацій </w:t>
      </w:r>
      <w:proofErr w:type="spellStart"/>
      <w:r w:rsidRPr="0086108E">
        <w:rPr>
          <w:rFonts w:ascii="Times New Roman" w:hAnsi="Times New Roman" w:cs="Times New Roman"/>
          <w:bCs/>
          <w:sz w:val="25"/>
          <w:szCs w:val="25"/>
        </w:rPr>
        <w:t>країн-бенефіціарів</w:t>
      </w:r>
      <w:proofErr w:type="spellEnd"/>
      <w:r w:rsidRPr="0086108E">
        <w:rPr>
          <w:rFonts w:ascii="Times New Roman" w:hAnsi="Times New Roman" w:cs="Times New Roman"/>
          <w:bCs/>
          <w:sz w:val="25"/>
          <w:szCs w:val="25"/>
        </w:rPr>
        <w:t xml:space="preserve"> ініціативного підходу, самостійного визначення своїх потреб, підготовки і подання заявок, мобільності (від подання заявки on-</w:t>
      </w:r>
      <w:proofErr w:type="spellStart"/>
      <w:r w:rsidRPr="0086108E">
        <w:rPr>
          <w:rFonts w:ascii="Times New Roman" w:hAnsi="Times New Roman" w:cs="Times New Roman"/>
          <w:bCs/>
          <w:sz w:val="25"/>
          <w:szCs w:val="25"/>
        </w:rPr>
        <w:t>line</w:t>
      </w:r>
      <w:proofErr w:type="spellEnd"/>
      <w:r w:rsidRPr="0086108E">
        <w:rPr>
          <w:rFonts w:ascii="Times New Roman" w:hAnsi="Times New Roman" w:cs="Times New Roman"/>
          <w:bCs/>
          <w:sz w:val="25"/>
          <w:szCs w:val="25"/>
        </w:rPr>
        <w:t xml:space="preserve"> до надання допомоги проходить від двох до трьох місяців), що дає змогу використовувати його для вирішення термінових питань.</w:t>
      </w:r>
    </w:p>
    <w:p w:rsidR="0086108E" w:rsidRPr="0086108E" w:rsidRDefault="0086108E" w:rsidP="0086108E">
      <w:pPr>
        <w:spacing w:after="120"/>
        <w:jc w:val="both"/>
        <w:rPr>
          <w:rFonts w:ascii="Times New Roman" w:hAnsi="Times New Roman" w:cs="Times New Roman"/>
          <w:bCs/>
          <w:i/>
          <w:sz w:val="25"/>
          <w:szCs w:val="25"/>
        </w:rPr>
      </w:pPr>
      <w:r w:rsidRPr="0086108E">
        <w:rPr>
          <w:rFonts w:ascii="Times New Roman" w:hAnsi="Times New Roman" w:cs="Times New Roman"/>
          <w:bCs/>
          <w:sz w:val="25"/>
          <w:szCs w:val="25"/>
        </w:rPr>
        <w:t xml:space="preserve">Використання зовнішньої допомоги Європейської Комісії рамках інструменту TAIEX в Україні здійснюється відповідно до </w:t>
      </w:r>
      <w:r w:rsidRPr="0086108E">
        <w:rPr>
          <w:rFonts w:ascii="Times New Roman" w:hAnsi="Times New Roman" w:cs="Times New Roman"/>
          <w:bCs/>
          <w:i/>
          <w:sz w:val="25"/>
          <w:szCs w:val="25"/>
        </w:rPr>
        <w:t>Постанови Кабінету Міністрів України «Про затвердження Порядку підготовки, схвалення та виконання плану залучення зовнішньої допомоги Європейської Комісії у рамках TAIEX» від 13 січня 2016 року № 32.</w:t>
      </w:r>
    </w:p>
    <w:p w:rsidR="0086108E" w:rsidRPr="0086108E" w:rsidRDefault="0086108E" w:rsidP="0086108E">
      <w:pPr>
        <w:spacing w:after="120"/>
        <w:jc w:val="both"/>
        <w:rPr>
          <w:rFonts w:ascii="Times New Roman" w:hAnsi="Times New Roman" w:cs="Times New Roman"/>
          <w:sz w:val="25"/>
          <w:szCs w:val="25"/>
        </w:rPr>
      </w:pPr>
      <w:r w:rsidRPr="0086108E">
        <w:rPr>
          <w:rFonts w:ascii="Times New Roman" w:hAnsi="Times New Roman" w:cs="Times New Roman"/>
          <w:b/>
          <w:bCs/>
          <w:sz w:val="25"/>
          <w:szCs w:val="25"/>
        </w:rPr>
        <w:t xml:space="preserve">Національне агентство України з питань державної служби </w:t>
      </w:r>
      <w:r w:rsidRPr="0086108E">
        <w:rPr>
          <w:rFonts w:ascii="Times New Roman" w:hAnsi="Times New Roman" w:cs="Times New Roman"/>
          <w:sz w:val="25"/>
          <w:szCs w:val="25"/>
        </w:rPr>
        <w:t>є координатором впровадження інструменту інституціональної розбудови TAIEX в Україні.</w:t>
      </w:r>
    </w:p>
    <w:p w:rsidR="0086108E" w:rsidRPr="0086108E" w:rsidRDefault="0086108E" w:rsidP="0086108E">
      <w:pPr>
        <w:spacing w:after="120"/>
        <w:jc w:val="both"/>
        <w:rPr>
          <w:rFonts w:ascii="Times New Roman" w:hAnsi="Times New Roman" w:cs="Times New Roman"/>
          <w:sz w:val="25"/>
          <w:szCs w:val="25"/>
        </w:rPr>
      </w:pPr>
      <w:r w:rsidRPr="0086108E">
        <w:rPr>
          <w:rFonts w:ascii="Times New Roman" w:hAnsi="Times New Roman" w:cs="Times New Roman"/>
          <w:b/>
          <w:bCs/>
          <w:sz w:val="25"/>
          <w:szCs w:val="25"/>
        </w:rPr>
        <w:t>Інструмент TAIEX спрямований на:</w:t>
      </w:r>
    </w:p>
    <w:p w:rsidR="0086108E" w:rsidRPr="0086108E" w:rsidRDefault="0086108E" w:rsidP="0086108E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5"/>
          <w:szCs w:val="25"/>
        </w:rPr>
      </w:pPr>
      <w:r w:rsidRPr="0086108E">
        <w:rPr>
          <w:rFonts w:ascii="Times New Roman" w:hAnsi="Times New Roman" w:cs="Times New Roman"/>
          <w:sz w:val="25"/>
          <w:szCs w:val="25"/>
        </w:rPr>
        <w:t xml:space="preserve">наближення, імплементацію національного законодавства до </w:t>
      </w:r>
      <w:proofErr w:type="spellStart"/>
      <w:r w:rsidRPr="0086108E">
        <w:rPr>
          <w:rFonts w:ascii="Times New Roman" w:hAnsi="Times New Roman" w:cs="Times New Roman"/>
          <w:sz w:val="25"/>
          <w:szCs w:val="25"/>
        </w:rPr>
        <w:t>acquis</w:t>
      </w:r>
      <w:proofErr w:type="spellEnd"/>
      <w:r w:rsidRPr="0086108E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6108E">
        <w:rPr>
          <w:rFonts w:ascii="Times New Roman" w:hAnsi="Times New Roman" w:cs="Times New Roman"/>
          <w:sz w:val="25"/>
          <w:szCs w:val="25"/>
        </w:rPr>
        <w:t>communautaire</w:t>
      </w:r>
      <w:proofErr w:type="spellEnd"/>
      <w:r w:rsidRPr="0086108E">
        <w:rPr>
          <w:rFonts w:ascii="Times New Roman" w:hAnsi="Times New Roman" w:cs="Times New Roman"/>
          <w:sz w:val="25"/>
          <w:szCs w:val="25"/>
        </w:rPr>
        <w:t>;</w:t>
      </w:r>
    </w:p>
    <w:p w:rsidR="0086108E" w:rsidRPr="0086108E" w:rsidRDefault="0086108E" w:rsidP="0086108E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5"/>
          <w:szCs w:val="25"/>
        </w:rPr>
      </w:pPr>
      <w:r w:rsidRPr="0086108E">
        <w:rPr>
          <w:rFonts w:ascii="Times New Roman" w:hAnsi="Times New Roman" w:cs="Times New Roman"/>
          <w:sz w:val="25"/>
          <w:szCs w:val="25"/>
        </w:rPr>
        <w:t>сприяння інституційному розвитку органів державної влади;</w:t>
      </w:r>
    </w:p>
    <w:p w:rsidR="0086108E" w:rsidRPr="0086108E" w:rsidRDefault="0086108E" w:rsidP="0086108E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86108E">
        <w:rPr>
          <w:rFonts w:ascii="Times New Roman" w:hAnsi="Times New Roman" w:cs="Times New Roman"/>
          <w:color w:val="000000" w:themeColor="text1"/>
          <w:sz w:val="25"/>
          <w:szCs w:val="25"/>
        </w:rPr>
        <w:t>підвищення кваліфікації державних службовців.</w:t>
      </w:r>
    </w:p>
    <w:p w:rsidR="0086108E" w:rsidRPr="0086108E" w:rsidRDefault="0086108E" w:rsidP="0086108E">
      <w:pPr>
        <w:spacing w:after="120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5"/>
          <w:szCs w:val="25"/>
        </w:rPr>
      </w:pPr>
    </w:p>
    <w:p w:rsidR="0086108E" w:rsidRPr="0086108E" w:rsidRDefault="0086108E" w:rsidP="0086108E">
      <w:pPr>
        <w:spacing w:after="120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5"/>
          <w:szCs w:val="25"/>
        </w:rPr>
      </w:pPr>
    </w:p>
    <w:p w:rsidR="0086108E" w:rsidRDefault="0086108E" w:rsidP="0086108E">
      <w:pPr>
        <w:spacing w:after="120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5"/>
          <w:szCs w:val="25"/>
        </w:rPr>
      </w:pPr>
    </w:p>
    <w:p w:rsidR="0086108E" w:rsidRPr="00844734" w:rsidRDefault="0086108E" w:rsidP="0086108E">
      <w:pPr>
        <w:spacing w:after="120"/>
        <w:jc w:val="both"/>
        <w:rPr>
          <w:rFonts w:ascii="Times New Roman" w:hAnsi="Times New Roman" w:cs="Times New Roman"/>
          <w:bCs/>
          <w:color w:val="000000" w:themeColor="text1"/>
          <w:sz w:val="25"/>
          <w:szCs w:val="25"/>
        </w:rPr>
      </w:pPr>
      <w:r w:rsidRPr="00844734">
        <w:rPr>
          <w:rFonts w:ascii="Times New Roman" w:hAnsi="Times New Roman" w:cs="Times New Roman"/>
          <w:b/>
          <w:bCs/>
          <w:iCs/>
          <w:color w:val="000000" w:themeColor="text1"/>
          <w:sz w:val="25"/>
          <w:szCs w:val="25"/>
        </w:rPr>
        <w:lastRenderedPageBreak/>
        <w:t>Основні цільові групи ТАІЕХ:</w:t>
      </w:r>
    </w:p>
    <w:p w:rsidR="0086108E" w:rsidRPr="0086108E" w:rsidRDefault="0086108E" w:rsidP="0086108E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bCs/>
          <w:color w:val="000000" w:themeColor="text1"/>
          <w:sz w:val="25"/>
          <w:szCs w:val="25"/>
        </w:rPr>
      </w:pPr>
      <w:r w:rsidRPr="0086108E">
        <w:rPr>
          <w:rFonts w:ascii="Times New Roman" w:hAnsi="Times New Roman" w:cs="Times New Roman"/>
          <w:bCs/>
          <w:color w:val="000000" w:themeColor="text1"/>
          <w:sz w:val="25"/>
          <w:szCs w:val="25"/>
        </w:rPr>
        <w:t>державні службовці, що працюють у центральних органах виконавчої влади;</w:t>
      </w:r>
    </w:p>
    <w:p w:rsidR="0086108E" w:rsidRPr="0086108E" w:rsidRDefault="0086108E" w:rsidP="0086108E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bCs/>
          <w:color w:val="000000" w:themeColor="text1"/>
          <w:sz w:val="25"/>
          <w:szCs w:val="25"/>
        </w:rPr>
      </w:pPr>
      <w:r w:rsidRPr="0086108E">
        <w:rPr>
          <w:rFonts w:ascii="Times New Roman" w:hAnsi="Times New Roman" w:cs="Times New Roman"/>
          <w:bCs/>
          <w:color w:val="000000" w:themeColor="text1"/>
          <w:sz w:val="25"/>
          <w:szCs w:val="25"/>
        </w:rPr>
        <w:t>державні службовці, що працюють в місцевих органах виконавчої влади та асоціаціях місцевих органів влади;</w:t>
      </w:r>
    </w:p>
    <w:p w:rsidR="0086108E" w:rsidRPr="0086108E" w:rsidRDefault="0086108E" w:rsidP="0086108E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bCs/>
          <w:color w:val="000000" w:themeColor="text1"/>
          <w:sz w:val="25"/>
          <w:szCs w:val="25"/>
        </w:rPr>
      </w:pPr>
      <w:r w:rsidRPr="0086108E">
        <w:rPr>
          <w:rFonts w:ascii="Times New Roman" w:hAnsi="Times New Roman" w:cs="Times New Roman"/>
          <w:bCs/>
          <w:color w:val="000000" w:themeColor="text1"/>
          <w:sz w:val="25"/>
          <w:szCs w:val="25"/>
        </w:rPr>
        <w:t>органи юстиції та правоохоронні органи;</w:t>
      </w:r>
    </w:p>
    <w:p w:rsidR="0086108E" w:rsidRPr="0086108E" w:rsidRDefault="0086108E" w:rsidP="0086108E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bCs/>
          <w:color w:val="000000" w:themeColor="text1"/>
          <w:sz w:val="25"/>
          <w:szCs w:val="25"/>
        </w:rPr>
      </w:pPr>
      <w:r w:rsidRPr="0086108E">
        <w:rPr>
          <w:rFonts w:ascii="Times New Roman" w:hAnsi="Times New Roman" w:cs="Times New Roman"/>
          <w:bCs/>
          <w:color w:val="000000" w:themeColor="text1"/>
          <w:sz w:val="25"/>
          <w:szCs w:val="25"/>
        </w:rPr>
        <w:t>члени законодавчих органів та державні службовці, що працюють у законодавчих органах та органах місцевого самоврядування;</w:t>
      </w:r>
    </w:p>
    <w:p w:rsidR="0086108E" w:rsidRPr="0086108E" w:rsidRDefault="0086108E" w:rsidP="0086108E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bCs/>
          <w:color w:val="000000" w:themeColor="text1"/>
          <w:sz w:val="25"/>
          <w:szCs w:val="25"/>
        </w:rPr>
      </w:pPr>
      <w:r w:rsidRPr="0086108E">
        <w:rPr>
          <w:rFonts w:ascii="Times New Roman" w:hAnsi="Times New Roman" w:cs="Times New Roman"/>
          <w:bCs/>
          <w:color w:val="000000" w:themeColor="text1"/>
          <w:sz w:val="25"/>
          <w:szCs w:val="25"/>
        </w:rPr>
        <w:t>професійні та комерційні асоціації, що представляють соціальних партнерів, представники профспілок та спілок роботодавців.</w:t>
      </w:r>
    </w:p>
    <w:p w:rsidR="0086108E" w:rsidRPr="0086108E" w:rsidRDefault="0086108E" w:rsidP="0086108E">
      <w:pPr>
        <w:spacing w:after="12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86108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З початку впровадження інструменту TAIEX в Україні (з 2006 року), станом на </w:t>
      </w:r>
      <w:r w:rsidR="00993925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0</w:t>
      </w:r>
      <w:r w:rsidR="00BF7C2F" w:rsidRPr="00BF7C2F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1</w:t>
      </w:r>
      <w:r w:rsidRPr="0086108E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 </w:t>
      </w:r>
      <w:r w:rsidR="00BF7C2F" w:rsidRPr="00BF7C2F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лип</w:t>
      </w:r>
      <w:r w:rsidR="00993925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ня</w:t>
      </w:r>
      <w:r w:rsidRPr="0086108E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 2019 року, </w:t>
      </w:r>
      <w:r w:rsidRPr="0086108E">
        <w:rPr>
          <w:rFonts w:ascii="Times New Roman" w:hAnsi="Times New Roman" w:cs="Times New Roman"/>
          <w:bCs/>
          <w:i/>
          <w:color w:val="000000" w:themeColor="text1"/>
          <w:sz w:val="25"/>
          <w:szCs w:val="25"/>
        </w:rPr>
        <w:t>18 6</w:t>
      </w:r>
      <w:r w:rsidR="00BB72C8">
        <w:rPr>
          <w:rFonts w:ascii="Times New Roman" w:hAnsi="Times New Roman" w:cs="Times New Roman"/>
          <w:bCs/>
          <w:i/>
          <w:color w:val="000000" w:themeColor="text1"/>
          <w:sz w:val="25"/>
          <w:szCs w:val="25"/>
        </w:rPr>
        <w:t>26</w:t>
      </w:r>
      <w:r w:rsidRPr="0086108E">
        <w:rPr>
          <w:rFonts w:ascii="Times New Roman" w:hAnsi="Times New Roman" w:cs="Times New Roman"/>
          <w:i/>
          <w:color w:val="000000" w:themeColor="text1"/>
          <w:sz w:val="25"/>
          <w:szCs w:val="25"/>
        </w:rPr>
        <w:t> представник</w:t>
      </w:r>
      <w:r w:rsidR="00BB72C8">
        <w:rPr>
          <w:rFonts w:ascii="Times New Roman" w:hAnsi="Times New Roman" w:cs="Times New Roman"/>
          <w:i/>
          <w:color w:val="000000" w:themeColor="text1"/>
          <w:sz w:val="25"/>
          <w:szCs w:val="25"/>
        </w:rPr>
        <w:t>ів</w:t>
      </w:r>
      <w:r w:rsidRPr="0086108E">
        <w:rPr>
          <w:rFonts w:ascii="Times New Roman" w:hAnsi="Times New Roman" w:cs="Times New Roman"/>
          <w:i/>
          <w:color w:val="000000" w:themeColor="text1"/>
          <w:sz w:val="25"/>
          <w:szCs w:val="25"/>
        </w:rPr>
        <w:t xml:space="preserve"> </w:t>
      </w:r>
      <w:r w:rsidRPr="0086108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органів державної влади взяв участь у </w:t>
      </w:r>
      <w:r w:rsidR="00F44F76">
        <w:rPr>
          <w:rFonts w:ascii="Times New Roman" w:hAnsi="Times New Roman" w:cs="Times New Roman"/>
          <w:bCs/>
          <w:i/>
          <w:color w:val="000000" w:themeColor="text1"/>
          <w:sz w:val="25"/>
          <w:szCs w:val="25"/>
        </w:rPr>
        <w:t>812</w:t>
      </w:r>
      <w:r w:rsidRPr="0086108E">
        <w:rPr>
          <w:rFonts w:ascii="Times New Roman" w:hAnsi="Times New Roman" w:cs="Times New Roman"/>
          <w:bCs/>
          <w:i/>
          <w:color w:val="000000" w:themeColor="text1"/>
          <w:sz w:val="25"/>
          <w:szCs w:val="25"/>
        </w:rPr>
        <w:t> </w:t>
      </w:r>
      <w:r w:rsidRPr="0086108E">
        <w:rPr>
          <w:rFonts w:ascii="Times New Roman" w:hAnsi="Times New Roman" w:cs="Times New Roman"/>
          <w:i/>
          <w:color w:val="000000" w:themeColor="text1"/>
          <w:sz w:val="25"/>
          <w:szCs w:val="25"/>
        </w:rPr>
        <w:t>заходах</w:t>
      </w:r>
      <w:r w:rsidRPr="0086108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організованих в рамках інструменту ТАІЕХ, серед яких </w:t>
      </w:r>
      <w:r w:rsidRPr="0086108E">
        <w:rPr>
          <w:rFonts w:ascii="Times New Roman" w:hAnsi="Times New Roman" w:cs="Times New Roman"/>
          <w:bCs/>
          <w:i/>
          <w:color w:val="000000" w:themeColor="text1"/>
          <w:sz w:val="25"/>
          <w:szCs w:val="25"/>
        </w:rPr>
        <w:t>1</w:t>
      </w:r>
      <w:r w:rsidR="00F44F76">
        <w:rPr>
          <w:rFonts w:ascii="Times New Roman" w:hAnsi="Times New Roman" w:cs="Times New Roman"/>
          <w:bCs/>
          <w:i/>
          <w:color w:val="000000" w:themeColor="text1"/>
          <w:sz w:val="25"/>
          <w:szCs w:val="25"/>
        </w:rPr>
        <w:t>52</w:t>
      </w:r>
      <w:r w:rsidRPr="0086108E">
        <w:rPr>
          <w:rFonts w:ascii="Times New Roman" w:hAnsi="Times New Roman" w:cs="Times New Roman"/>
          <w:bCs/>
          <w:i/>
          <w:color w:val="000000" w:themeColor="text1"/>
          <w:sz w:val="25"/>
          <w:szCs w:val="25"/>
        </w:rPr>
        <w:t> </w:t>
      </w:r>
      <w:r w:rsidR="00F44F76">
        <w:rPr>
          <w:rFonts w:ascii="Times New Roman" w:hAnsi="Times New Roman" w:cs="Times New Roman"/>
          <w:i/>
          <w:color w:val="000000" w:themeColor="text1"/>
          <w:sz w:val="25"/>
          <w:szCs w:val="25"/>
        </w:rPr>
        <w:t>заходи</w:t>
      </w:r>
      <w:r w:rsidR="00014BA1" w:rsidRPr="00014BA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86108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— за ініціативи Європейської Комісії, а </w:t>
      </w:r>
      <w:r w:rsidRPr="0086108E">
        <w:rPr>
          <w:rFonts w:ascii="Times New Roman" w:hAnsi="Times New Roman" w:cs="Times New Roman"/>
          <w:bCs/>
          <w:i/>
          <w:color w:val="000000" w:themeColor="text1"/>
          <w:sz w:val="25"/>
          <w:szCs w:val="25"/>
        </w:rPr>
        <w:t>6</w:t>
      </w:r>
      <w:r w:rsidR="00F44F76">
        <w:rPr>
          <w:rFonts w:ascii="Times New Roman" w:hAnsi="Times New Roman" w:cs="Times New Roman"/>
          <w:bCs/>
          <w:i/>
          <w:color w:val="000000" w:themeColor="text1"/>
          <w:sz w:val="25"/>
          <w:szCs w:val="25"/>
        </w:rPr>
        <w:t>60</w:t>
      </w:r>
      <w:r w:rsidRPr="0086108E">
        <w:rPr>
          <w:rFonts w:ascii="Times New Roman" w:hAnsi="Times New Roman" w:cs="Times New Roman"/>
          <w:bCs/>
          <w:i/>
          <w:color w:val="000000" w:themeColor="text1"/>
          <w:sz w:val="25"/>
          <w:szCs w:val="25"/>
        </w:rPr>
        <w:t> заходів</w:t>
      </w:r>
      <w:r w:rsidRPr="0086108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було ініційовано Україною.</w:t>
      </w:r>
    </w:p>
    <w:p w:rsidR="0086108E" w:rsidRPr="0086108E" w:rsidRDefault="00453E4B" w:rsidP="0086108E">
      <w:pPr>
        <w:spacing w:after="120"/>
        <w:jc w:val="both"/>
        <w:rPr>
          <w:rFonts w:ascii="Times New Roman" w:hAnsi="Times New Roman" w:cs="Times New Roman"/>
          <w:b/>
          <w:color w:val="000000" w:themeColor="text1"/>
          <w:szCs w:val="25"/>
        </w:rPr>
      </w:pPr>
      <w:r>
        <w:rPr>
          <w:noProof/>
          <w:lang w:val="ru-RU" w:eastAsia="ru-RU"/>
        </w:rPr>
        <w:drawing>
          <wp:inline distT="0" distB="0" distL="0" distR="0" wp14:anchorId="54C796B8" wp14:editId="4F1C7E9F">
            <wp:extent cx="6709558" cy="3503221"/>
            <wp:effectExtent l="0" t="0" r="15240" b="2159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0F5739">
        <w:rPr>
          <w:noProof/>
          <w:lang w:val="ru-RU" w:eastAsia="ru-RU"/>
        </w:rPr>
        <w:br/>
      </w:r>
      <w:r w:rsidR="0086108E" w:rsidRPr="0086108E">
        <w:rPr>
          <w:rFonts w:ascii="Times New Roman" w:hAnsi="Times New Roman" w:cs="Times New Roman"/>
          <w:b/>
          <w:color w:val="000000" w:themeColor="text1"/>
          <w:szCs w:val="25"/>
        </w:rPr>
        <w:t xml:space="preserve">Рис. 1. Огляд заходів TAIEX в Україні за формою (2006 – </w:t>
      </w:r>
      <w:r w:rsidR="000F5739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0</w:t>
      </w:r>
      <w:r w:rsidR="000F5739" w:rsidRPr="00BF7C2F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1</w:t>
      </w:r>
      <w:r w:rsidR="000F5739" w:rsidRPr="0086108E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 </w:t>
      </w:r>
      <w:r w:rsidR="000F5739" w:rsidRPr="00BF7C2F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лип</w:t>
      </w:r>
      <w:r w:rsidR="000F5739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ня</w:t>
      </w:r>
      <w:r w:rsidR="000F5739" w:rsidRPr="0086108E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 2019 року</w:t>
      </w:r>
      <w:r w:rsidR="0086108E" w:rsidRPr="0086108E">
        <w:rPr>
          <w:rFonts w:ascii="Times New Roman" w:hAnsi="Times New Roman" w:cs="Times New Roman"/>
          <w:b/>
          <w:color w:val="000000" w:themeColor="text1"/>
          <w:szCs w:val="25"/>
        </w:rPr>
        <w:t>)</w:t>
      </w:r>
    </w:p>
    <w:p w:rsidR="00F44F76" w:rsidRDefault="00F44F76" w:rsidP="0086108E">
      <w:pPr>
        <w:spacing w:after="12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86108E" w:rsidRPr="0086108E" w:rsidRDefault="0086108E" w:rsidP="0086108E">
      <w:pPr>
        <w:spacing w:after="120"/>
        <w:jc w:val="both"/>
        <w:rPr>
          <w:rFonts w:ascii="Times New Roman" w:hAnsi="Times New Roman" w:cs="Times New Roman"/>
          <w:sz w:val="25"/>
          <w:szCs w:val="25"/>
        </w:rPr>
      </w:pPr>
      <w:r w:rsidRPr="0086108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У </w:t>
      </w:r>
      <w:r w:rsidRPr="0086108E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2019 році</w:t>
      </w:r>
      <w:r w:rsidRPr="0086108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86108E">
        <w:rPr>
          <w:rFonts w:ascii="Times New Roman" w:hAnsi="Times New Roman" w:cs="Times New Roman"/>
          <w:i/>
          <w:color w:val="000000" w:themeColor="text1"/>
          <w:sz w:val="25"/>
          <w:szCs w:val="25"/>
        </w:rPr>
        <w:t> </w:t>
      </w:r>
      <w:r w:rsidR="000F5739" w:rsidRPr="000F5739">
        <w:rPr>
          <w:rFonts w:ascii="Times New Roman" w:hAnsi="Times New Roman" w:cs="Times New Roman"/>
          <w:i/>
          <w:color w:val="000000" w:themeColor="text1"/>
          <w:sz w:val="25"/>
          <w:szCs w:val="25"/>
        </w:rPr>
        <w:t>54</w:t>
      </w:r>
      <w:r w:rsidR="00F44F76">
        <w:rPr>
          <w:rFonts w:ascii="Times New Roman" w:hAnsi="Times New Roman" w:cs="Times New Roman"/>
          <w:i/>
          <w:color w:val="000000" w:themeColor="text1"/>
          <w:sz w:val="25"/>
          <w:szCs w:val="25"/>
        </w:rPr>
        <w:t>7 представників</w:t>
      </w:r>
      <w:r w:rsidRPr="0086108E">
        <w:rPr>
          <w:rFonts w:ascii="Times New Roman" w:hAnsi="Times New Roman" w:cs="Times New Roman"/>
          <w:i/>
          <w:color w:val="000000" w:themeColor="text1"/>
          <w:sz w:val="25"/>
          <w:szCs w:val="25"/>
        </w:rPr>
        <w:t xml:space="preserve"> </w:t>
      </w:r>
      <w:r w:rsidRPr="0086108E">
        <w:rPr>
          <w:rFonts w:ascii="Times New Roman" w:hAnsi="Times New Roman" w:cs="Times New Roman"/>
          <w:color w:val="000000" w:themeColor="text1"/>
          <w:sz w:val="25"/>
          <w:szCs w:val="25"/>
        </w:rPr>
        <w:t>органів державної влади взяли участь у</w:t>
      </w:r>
      <w:r w:rsidRPr="0086108E">
        <w:rPr>
          <w:rFonts w:ascii="Times New Roman" w:hAnsi="Times New Roman" w:cs="Times New Roman"/>
          <w:i/>
          <w:color w:val="000000" w:themeColor="text1"/>
          <w:sz w:val="25"/>
          <w:szCs w:val="25"/>
        </w:rPr>
        <w:t> </w:t>
      </w:r>
      <w:r w:rsidR="00014BA1">
        <w:rPr>
          <w:rFonts w:ascii="Times New Roman" w:hAnsi="Times New Roman" w:cs="Times New Roman"/>
          <w:i/>
          <w:color w:val="000000" w:themeColor="text1"/>
          <w:sz w:val="25"/>
          <w:szCs w:val="25"/>
        </w:rPr>
        <w:t>18</w:t>
      </w:r>
      <w:bookmarkStart w:id="0" w:name="_GoBack"/>
      <w:bookmarkEnd w:id="0"/>
      <w:r w:rsidR="00F44F76">
        <w:rPr>
          <w:rFonts w:ascii="Times New Roman" w:hAnsi="Times New Roman" w:cs="Times New Roman"/>
          <w:i/>
          <w:color w:val="000000" w:themeColor="text1"/>
          <w:sz w:val="25"/>
          <w:szCs w:val="25"/>
        </w:rPr>
        <w:t xml:space="preserve"> заходах</w:t>
      </w:r>
      <w:r w:rsidRPr="0086108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які були ініційовані Україною, серед яких </w:t>
      </w:r>
      <w:r w:rsidRPr="0086108E">
        <w:rPr>
          <w:rFonts w:ascii="Times New Roman" w:hAnsi="Times New Roman" w:cs="Times New Roman"/>
          <w:i/>
          <w:color w:val="000000" w:themeColor="text1"/>
          <w:sz w:val="25"/>
          <w:szCs w:val="25"/>
        </w:rPr>
        <w:t>1</w:t>
      </w:r>
      <w:r w:rsidR="000F5739" w:rsidRPr="000F5739">
        <w:rPr>
          <w:rFonts w:ascii="Times New Roman" w:hAnsi="Times New Roman" w:cs="Times New Roman"/>
          <w:i/>
          <w:color w:val="000000" w:themeColor="text1"/>
          <w:sz w:val="25"/>
          <w:szCs w:val="25"/>
        </w:rPr>
        <w:t>0</w:t>
      </w:r>
      <w:r w:rsidRPr="0086108E">
        <w:rPr>
          <w:rFonts w:ascii="Times New Roman" w:hAnsi="Times New Roman" w:cs="Times New Roman"/>
          <w:i/>
          <w:color w:val="000000" w:themeColor="text1"/>
          <w:sz w:val="25"/>
          <w:szCs w:val="25"/>
        </w:rPr>
        <w:t> семінарів</w:t>
      </w:r>
      <w:r w:rsidRPr="0086108E">
        <w:rPr>
          <w:rFonts w:ascii="Times New Roman" w:hAnsi="Times New Roman" w:cs="Times New Roman"/>
          <w:color w:val="000000" w:themeColor="text1"/>
          <w:sz w:val="25"/>
          <w:szCs w:val="25"/>
        </w:rPr>
        <w:t>,</w:t>
      </w:r>
      <w:r w:rsidR="000F5739" w:rsidRPr="000F5739">
        <w:rPr>
          <w:rFonts w:ascii="Times New Roman" w:hAnsi="Times New Roman" w:cs="Times New Roman"/>
          <w:i/>
          <w:color w:val="000000" w:themeColor="text1"/>
          <w:sz w:val="25"/>
          <w:szCs w:val="25"/>
        </w:rPr>
        <w:t xml:space="preserve"> 4</w:t>
      </w:r>
      <w:r w:rsidR="000F5739">
        <w:rPr>
          <w:rFonts w:ascii="Times New Roman" w:hAnsi="Times New Roman" w:cs="Times New Roman"/>
          <w:i/>
          <w:color w:val="000000" w:themeColor="text1"/>
          <w:sz w:val="25"/>
          <w:szCs w:val="25"/>
          <w:lang w:val="ru-RU"/>
        </w:rPr>
        <w:t> </w:t>
      </w:r>
      <w:r w:rsidRPr="0086108E">
        <w:rPr>
          <w:rFonts w:ascii="Times New Roman" w:hAnsi="Times New Roman" w:cs="Times New Roman"/>
          <w:i/>
          <w:color w:val="000000" w:themeColor="text1"/>
          <w:sz w:val="25"/>
          <w:szCs w:val="25"/>
        </w:rPr>
        <w:t>навчальних поїздки</w:t>
      </w:r>
      <w:r w:rsidRPr="0086108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до країн-членів ЄС та </w:t>
      </w:r>
      <w:r w:rsidR="000F5739" w:rsidRPr="000F5739">
        <w:rPr>
          <w:rFonts w:ascii="Times New Roman" w:hAnsi="Times New Roman" w:cs="Times New Roman"/>
          <w:i/>
          <w:color w:val="000000" w:themeColor="text1"/>
          <w:sz w:val="25"/>
          <w:szCs w:val="25"/>
        </w:rPr>
        <w:t>4</w:t>
      </w:r>
      <w:r w:rsidRPr="0086108E">
        <w:rPr>
          <w:rFonts w:ascii="Times New Roman" w:hAnsi="Times New Roman" w:cs="Times New Roman"/>
          <w:i/>
          <w:color w:val="000000" w:themeColor="text1"/>
          <w:sz w:val="25"/>
          <w:szCs w:val="25"/>
        </w:rPr>
        <w:t> експертні місії</w:t>
      </w:r>
      <w:r w:rsidRPr="0086108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до України. Водночас</w:t>
      </w:r>
      <w:r w:rsidRPr="0086108E">
        <w:rPr>
          <w:rFonts w:ascii="Times New Roman" w:hAnsi="Times New Roman" w:cs="Times New Roman"/>
          <w:sz w:val="25"/>
          <w:szCs w:val="25"/>
        </w:rPr>
        <w:t xml:space="preserve"> </w:t>
      </w:r>
      <w:r w:rsidR="000F5739">
        <w:rPr>
          <w:rFonts w:ascii="Times New Roman" w:hAnsi="Times New Roman" w:cs="Times New Roman"/>
          <w:i/>
          <w:sz w:val="25"/>
          <w:szCs w:val="25"/>
          <w:lang w:val="ru-RU"/>
        </w:rPr>
        <w:t>10</w:t>
      </w:r>
      <w:r w:rsidRPr="0086108E">
        <w:rPr>
          <w:rFonts w:ascii="Times New Roman" w:hAnsi="Times New Roman" w:cs="Times New Roman"/>
          <w:i/>
          <w:sz w:val="25"/>
          <w:szCs w:val="25"/>
        </w:rPr>
        <w:t> представників</w:t>
      </w:r>
      <w:r w:rsidRPr="0086108E">
        <w:rPr>
          <w:rFonts w:ascii="Times New Roman" w:hAnsi="Times New Roman" w:cs="Times New Roman"/>
          <w:sz w:val="25"/>
          <w:szCs w:val="25"/>
        </w:rPr>
        <w:t xml:space="preserve"> органів державної влади взяли участь у </w:t>
      </w:r>
      <w:r w:rsidR="00F44F76">
        <w:rPr>
          <w:rFonts w:ascii="Times New Roman" w:hAnsi="Times New Roman" w:cs="Times New Roman"/>
          <w:i/>
          <w:sz w:val="25"/>
          <w:szCs w:val="25"/>
        </w:rPr>
        <w:t>4</w:t>
      </w:r>
      <w:r w:rsidR="000F5739">
        <w:rPr>
          <w:rFonts w:ascii="Times New Roman" w:hAnsi="Times New Roman" w:cs="Times New Roman"/>
          <w:i/>
          <w:sz w:val="25"/>
          <w:szCs w:val="25"/>
          <w:lang w:val="ru-RU"/>
        </w:rPr>
        <w:t> </w:t>
      </w:r>
      <w:r w:rsidR="00F44F76">
        <w:rPr>
          <w:rFonts w:ascii="Times New Roman" w:hAnsi="Times New Roman" w:cs="Times New Roman"/>
          <w:i/>
          <w:sz w:val="25"/>
          <w:szCs w:val="25"/>
        </w:rPr>
        <w:t>семінарах</w:t>
      </w:r>
      <w:r w:rsidR="00F44F76">
        <w:rPr>
          <w:rFonts w:ascii="Times New Roman" w:hAnsi="Times New Roman" w:cs="Times New Roman"/>
          <w:sz w:val="25"/>
          <w:szCs w:val="25"/>
        </w:rPr>
        <w:t>, ініційованих</w:t>
      </w:r>
      <w:r w:rsidRPr="0086108E">
        <w:rPr>
          <w:rFonts w:ascii="Times New Roman" w:hAnsi="Times New Roman" w:cs="Times New Roman"/>
          <w:sz w:val="25"/>
          <w:szCs w:val="25"/>
        </w:rPr>
        <w:t xml:space="preserve"> Європейською Комісією у рамках інструменту TAIEX.</w:t>
      </w:r>
    </w:p>
    <w:p w:rsidR="0086108E" w:rsidRPr="0086108E" w:rsidRDefault="00AA0AB8" w:rsidP="0086108E">
      <w:pPr>
        <w:spacing w:after="12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60562662" wp14:editId="00B831CD">
            <wp:extent cx="6152515" cy="3266440"/>
            <wp:effectExtent l="0" t="0" r="19685" b="1016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F81C7B" w:rsidRPr="00993925">
        <w:rPr>
          <w:noProof/>
          <w:lang w:eastAsia="ru-RU"/>
        </w:rPr>
        <w:t xml:space="preserve"> </w:t>
      </w:r>
    </w:p>
    <w:p w:rsidR="0086108E" w:rsidRPr="0086108E" w:rsidRDefault="0086108E" w:rsidP="0086108E">
      <w:pPr>
        <w:spacing w:after="120"/>
        <w:jc w:val="both"/>
        <w:rPr>
          <w:rFonts w:ascii="Times New Roman" w:hAnsi="Times New Roman" w:cs="Times New Roman"/>
          <w:b/>
          <w:color w:val="000000" w:themeColor="text1"/>
          <w:szCs w:val="25"/>
        </w:rPr>
      </w:pPr>
      <w:r w:rsidRPr="0086108E">
        <w:rPr>
          <w:rFonts w:ascii="Times New Roman" w:hAnsi="Times New Roman" w:cs="Times New Roman"/>
          <w:b/>
          <w:color w:val="000000" w:themeColor="text1"/>
          <w:szCs w:val="25"/>
        </w:rPr>
        <w:t xml:space="preserve">Рис. 2. Огляд заходів TAIEX в Україні за ініціатором (2006 – </w:t>
      </w:r>
      <w:r w:rsidR="000F5739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0</w:t>
      </w:r>
      <w:r w:rsidR="000F5739" w:rsidRPr="00BF7C2F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1</w:t>
      </w:r>
      <w:r w:rsidR="000F5739" w:rsidRPr="0086108E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 </w:t>
      </w:r>
      <w:r w:rsidR="000F5739" w:rsidRPr="00BF7C2F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лип</w:t>
      </w:r>
      <w:r w:rsidR="000F5739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ня</w:t>
      </w:r>
      <w:r w:rsidR="000F5739" w:rsidRPr="0086108E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 2019 року</w:t>
      </w:r>
      <w:r w:rsidRPr="0086108E">
        <w:rPr>
          <w:rFonts w:ascii="Times New Roman" w:hAnsi="Times New Roman" w:cs="Times New Roman"/>
          <w:b/>
          <w:color w:val="000000" w:themeColor="text1"/>
          <w:szCs w:val="25"/>
        </w:rPr>
        <w:t>)</w:t>
      </w:r>
    </w:p>
    <w:p w:rsidR="0086108E" w:rsidRPr="0086108E" w:rsidRDefault="0086108E" w:rsidP="0086108E">
      <w:pPr>
        <w:spacing w:after="120"/>
        <w:jc w:val="both"/>
        <w:rPr>
          <w:rFonts w:ascii="Times New Roman" w:hAnsi="Times New Roman" w:cs="Times New Roman"/>
          <w:b/>
          <w:bCs/>
          <w:sz w:val="8"/>
          <w:szCs w:val="25"/>
        </w:rPr>
      </w:pPr>
    </w:p>
    <w:p w:rsidR="0086108E" w:rsidRPr="0086108E" w:rsidRDefault="0086108E" w:rsidP="0086108E">
      <w:pPr>
        <w:spacing w:after="120"/>
        <w:jc w:val="both"/>
        <w:rPr>
          <w:rFonts w:ascii="Times New Roman" w:hAnsi="Times New Roman" w:cs="Times New Roman"/>
          <w:sz w:val="25"/>
          <w:szCs w:val="25"/>
        </w:rPr>
      </w:pPr>
      <w:r w:rsidRPr="0086108E">
        <w:rPr>
          <w:rFonts w:ascii="Times New Roman" w:hAnsi="Times New Roman" w:cs="Times New Roman"/>
          <w:b/>
          <w:bCs/>
          <w:sz w:val="25"/>
          <w:szCs w:val="25"/>
        </w:rPr>
        <w:t>Упродовж зазначеного періоду (2006–2019) заходи TAIEX проводились у таких сферах:</w:t>
      </w:r>
    </w:p>
    <w:p w:rsidR="0086108E" w:rsidRPr="0086108E" w:rsidRDefault="0086108E" w:rsidP="0086108E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5"/>
          <w:szCs w:val="25"/>
        </w:rPr>
      </w:pPr>
      <w:r w:rsidRPr="0086108E">
        <w:rPr>
          <w:rFonts w:ascii="Times New Roman" w:hAnsi="Times New Roman" w:cs="Times New Roman"/>
          <w:sz w:val="25"/>
          <w:szCs w:val="25"/>
        </w:rPr>
        <w:t>юстиція та внутрішні справи (20</w:t>
      </w:r>
      <w:r w:rsidR="008E0F37">
        <w:rPr>
          <w:rFonts w:ascii="Times New Roman" w:hAnsi="Times New Roman" w:cs="Times New Roman"/>
          <w:sz w:val="25"/>
          <w:szCs w:val="25"/>
          <w:lang w:val="ru-RU"/>
        </w:rPr>
        <w:t>1</w:t>
      </w:r>
      <w:r w:rsidR="008E0F37">
        <w:rPr>
          <w:rFonts w:ascii="Times New Roman" w:hAnsi="Times New Roman" w:cs="Times New Roman"/>
          <w:sz w:val="25"/>
          <w:szCs w:val="25"/>
        </w:rPr>
        <w:t> захід</w:t>
      </w:r>
      <w:r w:rsidRPr="0086108E">
        <w:rPr>
          <w:rFonts w:ascii="Times New Roman" w:hAnsi="Times New Roman" w:cs="Times New Roman"/>
          <w:sz w:val="25"/>
          <w:szCs w:val="25"/>
        </w:rPr>
        <w:t xml:space="preserve">, з них у 2019 році – </w:t>
      </w:r>
      <w:r w:rsidR="008E0F37">
        <w:rPr>
          <w:rFonts w:ascii="Times New Roman" w:hAnsi="Times New Roman" w:cs="Times New Roman"/>
          <w:sz w:val="25"/>
          <w:szCs w:val="25"/>
        </w:rPr>
        <w:t>6</w:t>
      </w:r>
      <w:r w:rsidRPr="0086108E">
        <w:rPr>
          <w:rFonts w:ascii="Times New Roman" w:hAnsi="Times New Roman" w:cs="Times New Roman"/>
          <w:sz w:val="25"/>
          <w:szCs w:val="25"/>
        </w:rPr>
        <w:t> заходів);</w:t>
      </w:r>
    </w:p>
    <w:p w:rsidR="0086108E" w:rsidRPr="0086108E" w:rsidRDefault="0086108E" w:rsidP="0086108E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5"/>
          <w:szCs w:val="25"/>
        </w:rPr>
      </w:pPr>
      <w:r w:rsidRPr="0086108E">
        <w:rPr>
          <w:rFonts w:ascii="Times New Roman" w:hAnsi="Times New Roman" w:cs="Times New Roman"/>
          <w:sz w:val="25"/>
          <w:szCs w:val="25"/>
        </w:rPr>
        <w:t>внутрішній ринок (3</w:t>
      </w:r>
      <w:r w:rsidR="008E0F37">
        <w:rPr>
          <w:rFonts w:ascii="Times New Roman" w:hAnsi="Times New Roman" w:cs="Times New Roman"/>
          <w:sz w:val="25"/>
          <w:szCs w:val="25"/>
        </w:rPr>
        <w:t>60</w:t>
      </w:r>
      <w:r w:rsidRPr="0086108E">
        <w:rPr>
          <w:rFonts w:ascii="Times New Roman" w:hAnsi="Times New Roman" w:cs="Times New Roman"/>
          <w:sz w:val="25"/>
          <w:szCs w:val="25"/>
        </w:rPr>
        <w:t xml:space="preserve"> заходів, з них у 2019 році – </w:t>
      </w:r>
      <w:r w:rsidR="008E0F37">
        <w:rPr>
          <w:rFonts w:ascii="Times New Roman" w:hAnsi="Times New Roman" w:cs="Times New Roman"/>
          <w:sz w:val="25"/>
          <w:szCs w:val="25"/>
        </w:rPr>
        <w:t>7</w:t>
      </w:r>
      <w:r w:rsidRPr="0086108E">
        <w:rPr>
          <w:rFonts w:ascii="Times New Roman" w:hAnsi="Times New Roman" w:cs="Times New Roman"/>
          <w:sz w:val="25"/>
          <w:szCs w:val="25"/>
        </w:rPr>
        <w:t> заходів);</w:t>
      </w:r>
    </w:p>
    <w:p w:rsidR="0086108E" w:rsidRPr="0086108E" w:rsidRDefault="0086108E" w:rsidP="0086108E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5"/>
          <w:szCs w:val="25"/>
        </w:rPr>
      </w:pPr>
      <w:r w:rsidRPr="0086108E">
        <w:rPr>
          <w:rFonts w:ascii="Times New Roman" w:hAnsi="Times New Roman" w:cs="Times New Roman"/>
          <w:sz w:val="25"/>
          <w:szCs w:val="25"/>
        </w:rPr>
        <w:t>навколишнє середовище, телекомунікації та транспорт (15</w:t>
      </w:r>
      <w:r w:rsidR="008E0F37">
        <w:rPr>
          <w:rFonts w:ascii="Times New Roman" w:hAnsi="Times New Roman" w:cs="Times New Roman"/>
          <w:sz w:val="25"/>
          <w:szCs w:val="25"/>
        </w:rPr>
        <w:t>2</w:t>
      </w:r>
      <w:r w:rsidRPr="0086108E">
        <w:rPr>
          <w:rFonts w:ascii="Times New Roman" w:hAnsi="Times New Roman" w:cs="Times New Roman"/>
          <w:sz w:val="25"/>
          <w:szCs w:val="25"/>
        </w:rPr>
        <w:t> заход</w:t>
      </w:r>
      <w:r w:rsidR="008E0F37">
        <w:rPr>
          <w:rFonts w:ascii="Times New Roman" w:hAnsi="Times New Roman" w:cs="Times New Roman"/>
          <w:sz w:val="25"/>
          <w:szCs w:val="25"/>
        </w:rPr>
        <w:t>и</w:t>
      </w:r>
      <w:r w:rsidRPr="0086108E">
        <w:rPr>
          <w:rFonts w:ascii="Times New Roman" w:hAnsi="Times New Roman" w:cs="Times New Roman"/>
          <w:sz w:val="25"/>
          <w:szCs w:val="25"/>
        </w:rPr>
        <w:t xml:space="preserve">, з них у 2019 році – </w:t>
      </w:r>
      <w:r w:rsidR="008E0F37">
        <w:rPr>
          <w:rFonts w:ascii="Times New Roman" w:hAnsi="Times New Roman" w:cs="Times New Roman"/>
          <w:sz w:val="25"/>
          <w:szCs w:val="25"/>
        </w:rPr>
        <w:t>6</w:t>
      </w:r>
      <w:r w:rsidRPr="0086108E">
        <w:rPr>
          <w:rFonts w:ascii="Times New Roman" w:hAnsi="Times New Roman" w:cs="Times New Roman"/>
          <w:sz w:val="25"/>
          <w:szCs w:val="25"/>
        </w:rPr>
        <w:t> заход</w:t>
      </w:r>
      <w:r w:rsidR="008E0F37">
        <w:rPr>
          <w:rFonts w:ascii="Times New Roman" w:hAnsi="Times New Roman" w:cs="Times New Roman"/>
          <w:sz w:val="25"/>
          <w:szCs w:val="25"/>
        </w:rPr>
        <w:t>ів)</w:t>
      </w:r>
      <w:r w:rsidRPr="0086108E">
        <w:rPr>
          <w:rFonts w:ascii="Times New Roman" w:hAnsi="Times New Roman" w:cs="Times New Roman"/>
          <w:sz w:val="25"/>
          <w:szCs w:val="25"/>
        </w:rPr>
        <w:t>;</w:t>
      </w:r>
    </w:p>
    <w:p w:rsidR="0086108E" w:rsidRPr="0086108E" w:rsidRDefault="0086108E" w:rsidP="0086108E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5"/>
          <w:szCs w:val="25"/>
        </w:rPr>
      </w:pPr>
      <w:r w:rsidRPr="0086108E">
        <w:rPr>
          <w:rFonts w:ascii="Times New Roman" w:hAnsi="Times New Roman" w:cs="Times New Roman"/>
          <w:sz w:val="25"/>
          <w:szCs w:val="25"/>
        </w:rPr>
        <w:t>сільське господарство т</w:t>
      </w:r>
      <w:r w:rsidR="008E0F37">
        <w:rPr>
          <w:rFonts w:ascii="Times New Roman" w:hAnsi="Times New Roman" w:cs="Times New Roman"/>
          <w:sz w:val="25"/>
          <w:szCs w:val="25"/>
        </w:rPr>
        <w:t>а безпека харчових продуктів (99 заходів, з них у 2019 році – 3</w:t>
      </w:r>
      <w:r w:rsidRPr="0086108E">
        <w:rPr>
          <w:rFonts w:ascii="Times New Roman" w:hAnsi="Times New Roman" w:cs="Times New Roman"/>
          <w:sz w:val="25"/>
          <w:szCs w:val="25"/>
        </w:rPr>
        <w:t> заходи).</w:t>
      </w:r>
    </w:p>
    <w:p w:rsidR="0086108E" w:rsidRPr="0086108E" w:rsidRDefault="0086108E" w:rsidP="0086108E">
      <w:pPr>
        <w:spacing w:after="120"/>
        <w:jc w:val="both"/>
        <w:rPr>
          <w:rFonts w:ascii="Times New Roman" w:hAnsi="Times New Roman" w:cs="Times New Roman"/>
          <w:sz w:val="25"/>
          <w:szCs w:val="25"/>
        </w:rPr>
      </w:pPr>
      <w:r w:rsidRPr="0086108E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7D53112B" wp14:editId="76C69E12">
            <wp:extent cx="6152515" cy="3067685"/>
            <wp:effectExtent l="0" t="0" r="19685" b="1841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57619" w:rsidRPr="00C57619" w:rsidRDefault="00C57619" w:rsidP="00C57619">
      <w:pPr>
        <w:spacing w:after="12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57619">
        <w:rPr>
          <w:rFonts w:ascii="Times New Roman" w:hAnsi="Times New Roman" w:cs="Times New Roman"/>
          <w:b/>
          <w:sz w:val="25"/>
          <w:szCs w:val="25"/>
        </w:rPr>
        <w:t xml:space="preserve">Рис. 3. Огляд заходів TAIEX в Україні за сферами (2006 – </w:t>
      </w:r>
      <w:r w:rsidR="000F5739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0</w:t>
      </w:r>
      <w:r w:rsidR="000F5739" w:rsidRPr="00BF7C2F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1</w:t>
      </w:r>
      <w:r w:rsidR="000F5739" w:rsidRPr="0086108E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 </w:t>
      </w:r>
      <w:r w:rsidR="000F5739" w:rsidRPr="00BF7C2F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лип</w:t>
      </w:r>
      <w:r w:rsidR="000F5739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ня</w:t>
      </w:r>
      <w:r w:rsidR="000F5739" w:rsidRPr="0086108E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 2019 року</w:t>
      </w:r>
      <w:r w:rsidRPr="00C57619">
        <w:rPr>
          <w:rFonts w:ascii="Times New Roman" w:hAnsi="Times New Roman" w:cs="Times New Roman"/>
          <w:b/>
          <w:sz w:val="25"/>
          <w:szCs w:val="25"/>
        </w:rPr>
        <w:t>)</w:t>
      </w:r>
    </w:p>
    <w:p w:rsidR="0086108E" w:rsidRPr="0086108E" w:rsidRDefault="0086108E" w:rsidP="0086108E">
      <w:pPr>
        <w:spacing w:after="120"/>
        <w:jc w:val="both"/>
        <w:rPr>
          <w:rFonts w:ascii="Times New Roman" w:hAnsi="Times New Roman" w:cs="Times New Roman"/>
          <w:sz w:val="25"/>
          <w:szCs w:val="25"/>
        </w:rPr>
      </w:pPr>
    </w:p>
    <w:p w:rsidR="0086108E" w:rsidRPr="0086108E" w:rsidRDefault="0086108E" w:rsidP="0086108E">
      <w:pPr>
        <w:spacing w:after="120"/>
        <w:jc w:val="both"/>
        <w:rPr>
          <w:rFonts w:ascii="Times New Roman" w:hAnsi="Times New Roman" w:cs="Times New Roman"/>
          <w:sz w:val="25"/>
          <w:szCs w:val="25"/>
        </w:rPr>
      </w:pPr>
      <w:r w:rsidRPr="0086108E">
        <w:rPr>
          <w:rFonts w:ascii="Times New Roman" w:hAnsi="Times New Roman" w:cs="Times New Roman"/>
          <w:b/>
          <w:sz w:val="25"/>
          <w:szCs w:val="25"/>
        </w:rPr>
        <w:t>План залучення зовнішньої допомоги Європейської Комісії у рамках TAIEX на 2019 рік</w:t>
      </w:r>
      <w:r w:rsidRPr="0086108E">
        <w:rPr>
          <w:rFonts w:ascii="Times New Roman" w:hAnsi="Times New Roman" w:cs="Times New Roman"/>
          <w:sz w:val="25"/>
          <w:szCs w:val="25"/>
        </w:rPr>
        <w:t xml:space="preserve"> було сформовано шляхом інформування листом НАДС від 25 вересня 2018 року № 139/94/22-18 </w:t>
      </w:r>
      <w:r w:rsidRPr="0086108E">
        <w:rPr>
          <w:rFonts w:ascii="Times New Roman" w:hAnsi="Times New Roman" w:cs="Times New Roman"/>
          <w:sz w:val="25"/>
          <w:szCs w:val="25"/>
        </w:rPr>
        <w:lastRenderedPageBreak/>
        <w:t xml:space="preserve">органів державної влади про можливість залучення зовнішньої допомоги Європейської Комісії у рамках TAIEX. Усього НАДС було надано 460 пропозицій до Плану залучення на 2019 рік від 49 центральних органів виконавчої влади України. </w:t>
      </w:r>
    </w:p>
    <w:p w:rsidR="0086108E" w:rsidRPr="0086108E" w:rsidRDefault="0086108E" w:rsidP="0086108E">
      <w:pPr>
        <w:spacing w:after="120"/>
        <w:jc w:val="both"/>
        <w:rPr>
          <w:rFonts w:ascii="Times New Roman" w:hAnsi="Times New Roman" w:cs="Times New Roman"/>
          <w:sz w:val="25"/>
          <w:szCs w:val="25"/>
        </w:rPr>
      </w:pPr>
      <w:r w:rsidRPr="0086108E">
        <w:rPr>
          <w:rFonts w:ascii="Times New Roman" w:hAnsi="Times New Roman" w:cs="Times New Roman"/>
          <w:sz w:val="25"/>
          <w:szCs w:val="25"/>
        </w:rPr>
        <w:t xml:space="preserve">На виконання пункту 8 Порядку підготовки, схвалення та виконання Плану залучення зовнішньої допомоги Європейської Комісії в рамках ТАІЕХ зазначений проект Плану залучення на 2019 рік </w:t>
      </w:r>
      <w:r w:rsidRPr="0086108E">
        <w:rPr>
          <w:rFonts w:ascii="Times New Roman" w:hAnsi="Times New Roman" w:cs="Times New Roman"/>
          <w:b/>
          <w:sz w:val="25"/>
          <w:szCs w:val="25"/>
        </w:rPr>
        <w:t>29 листопада 2018 року</w:t>
      </w:r>
      <w:r w:rsidRPr="0086108E">
        <w:rPr>
          <w:rFonts w:ascii="Times New Roman" w:hAnsi="Times New Roman" w:cs="Times New Roman"/>
          <w:sz w:val="25"/>
          <w:szCs w:val="25"/>
        </w:rPr>
        <w:t xml:space="preserve"> було розглянуто та схвалено на засіданні Робочої групи з питань координації впровадження інструментів </w:t>
      </w:r>
      <w:proofErr w:type="spellStart"/>
      <w:r w:rsidRPr="0086108E">
        <w:rPr>
          <w:rFonts w:ascii="Times New Roman" w:hAnsi="Times New Roman" w:cs="Times New Roman"/>
          <w:sz w:val="25"/>
          <w:szCs w:val="25"/>
        </w:rPr>
        <w:t>Twinning</w:t>
      </w:r>
      <w:proofErr w:type="spellEnd"/>
      <w:r w:rsidRPr="0086108E">
        <w:rPr>
          <w:rFonts w:ascii="Times New Roman" w:hAnsi="Times New Roman" w:cs="Times New Roman"/>
          <w:sz w:val="25"/>
          <w:szCs w:val="25"/>
        </w:rPr>
        <w:t xml:space="preserve"> і TAIEX. </w:t>
      </w:r>
    </w:p>
    <w:p w:rsidR="0086108E" w:rsidRPr="0086108E" w:rsidRDefault="0086108E" w:rsidP="0086108E">
      <w:pPr>
        <w:spacing w:after="120"/>
        <w:jc w:val="both"/>
        <w:rPr>
          <w:rFonts w:ascii="Times New Roman" w:hAnsi="Times New Roman" w:cs="Times New Roman"/>
          <w:sz w:val="25"/>
          <w:szCs w:val="25"/>
        </w:rPr>
      </w:pPr>
      <w:r w:rsidRPr="0086108E">
        <w:rPr>
          <w:rFonts w:ascii="Times New Roman" w:hAnsi="Times New Roman" w:cs="Times New Roman"/>
          <w:sz w:val="25"/>
          <w:szCs w:val="25"/>
        </w:rPr>
        <w:t>За результатами засідання Робочої групи та з метою виконання пункту 12 Порядку підготовки, схвалення та виконання Плану залучення зовнішньої допомоги Європейської Комісії у рамках TAIEX листом НАДС від 26 грудня 2018 року № 9688/94-18 опрацьований проект Плану залучення на 2019 рік, що містить 391 пропозицію щодо проведення заходів ТАІЕХ, було направлено на розгляд Кабінету Міністрів України.</w:t>
      </w:r>
    </w:p>
    <w:p w:rsidR="0086108E" w:rsidRPr="0086108E" w:rsidRDefault="0086108E" w:rsidP="0086108E">
      <w:pPr>
        <w:spacing w:after="120"/>
        <w:jc w:val="both"/>
        <w:rPr>
          <w:rFonts w:ascii="Times New Roman" w:hAnsi="Times New Roman" w:cs="Times New Roman"/>
          <w:sz w:val="25"/>
          <w:szCs w:val="25"/>
        </w:rPr>
      </w:pPr>
      <w:r w:rsidRPr="0086108E">
        <w:rPr>
          <w:rFonts w:ascii="Times New Roman" w:hAnsi="Times New Roman" w:cs="Times New Roman"/>
          <w:sz w:val="25"/>
          <w:szCs w:val="25"/>
        </w:rPr>
        <w:t>У відповідь на вищезгаданий лист, віце-прем'єр-міністр з питань європейської та євроатлантичної інтеграції</w:t>
      </w:r>
      <w:r w:rsidRPr="0086108E">
        <w:rPr>
          <w:rFonts w:ascii="Times New Roman" w:hAnsi="Times New Roman" w:cs="Times New Roman"/>
        </w:rPr>
        <w:t xml:space="preserve"> </w:t>
      </w:r>
      <w:proofErr w:type="spellStart"/>
      <w:r w:rsidRPr="0086108E">
        <w:rPr>
          <w:rFonts w:ascii="Times New Roman" w:hAnsi="Times New Roman" w:cs="Times New Roman"/>
          <w:sz w:val="25"/>
          <w:szCs w:val="25"/>
        </w:rPr>
        <w:t>Климпуш-Цинцадзе</w:t>
      </w:r>
      <w:proofErr w:type="spellEnd"/>
      <w:r w:rsidRPr="0086108E">
        <w:rPr>
          <w:rFonts w:ascii="Times New Roman" w:hAnsi="Times New Roman" w:cs="Times New Roman"/>
          <w:sz w:val="25"/>
          <w:szCs w:val="25"/>
        </w:rPr>
        <w:t xml:space="preserve"> І.О. дала </w:t>
      </w:r>
      <w:proofErr w:type="spellStart"/>
      <w:r w:rsidRPr="0086108E">
        <w:rPr>
          <w:rFonts w:ascii="Times New Roman" w:hAnsi="Times New Roman" w:cs="Times New Roman"/>
          <w:sz w:val="25"/>
          <w:szCs w:val="25"/>
        </w:rPr>
        <w:t>органам-бенефіціарам</w:t>
      </w:r>
      <w:proofErr w:type="spellEnd"/>
      <w:r w:rsidRPr="0086108E">
        <w:rPr>
          <w:rFonts w:ascii="Times New Roman" w:hAnsi="Times New Roman" w:cs="Times New Roman"/>
          <w:sz w:val="25"/>
          <w:szCs w:val="25"/>
        </w:rPr>
        <w:t xml:space="preserve"> ТАІЕХ доручення від 10 січня 2019 року № 51810/1/1-18 щодо необхідності підготовки та подання НАДС заявок ТАІЕХ.</w:t>
      </w:r>
    </w:p>
    <w:p w:rsidR="0086108E" w:rsidRPr="0086108E" w:rsidRDefault="0086108E" w:rsidP="0086108E">
      <w:pPr>
        <w:spacing w:after="12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 сво</w:t>
      </w:r>
      <w:r w:rsidRPr="0086108E">
        <w:rPr>
          <w:rFonts w:ascii="Times New Roman" w:hAnsi="Times New Roman" w:cs="Times New Roman"/>
          <w:sz w:val="25"/>
          <w:szCs w:val="25"/>
        </w:rPr>
        <w:t>ю черг</w:t>
      </w:r>
      <w:r>
        <w:rPr>
          <w:rFonts w:ascii="Times New Roman" w:hAnsi="Times New Roman" w:cs="Times New Roman"/>
          <w:sz w:val="25"/>
          <w:szCs w:val="25"/>
        </w:rPr>
        <w:t>у</w:t>
      </w:r>
      <w:r w:rsidRPr="0086108E">
        <w:rPr>
          <w:rFonts w:ascii="Times New Roman" w:hAnsi="Times New Roman" w:cs="Times New Roman"/>
          <w:sz w:val="25"/>
          <w:szCs w:val="25"/>
        </w:rPr>
        <w:t xml:space="preserve">, НАДС електронним листом від 11 січня 2019 року повторно поінформувало </w:t>
      </w:r>
      <w:proofErr w:type="spellStart"/>
      <w:r w:rsidRPr="0086108E">
        <w:rPr>
          <w:rFonts w:ascii="Times New Roman" w:hAnsi="Times New Roman" w:cs="Times New Roman"/>
          <w:sz w:val="25"/>
          <w:szCs w:val="25"/>
        </w:rPr>
        <w:t>органи-бенефіціари</w:t>
      </w:r>
      <w:proofErr w:type="spellEnd"/>
      <w:r w:rsidRPr="0086108E">
        <w:rPr>
          <w:rFonts w:ascii="Times New Roman" w:hAnsi="Times New Roman" w:cs="Times New Roman"/>
          <w:sz w:val="25"/>
          <w:szCs w:val="25"/>
        </w:rPr>
        <w:t xml:space="preserve"> ТАІЕХ щодо можливості підготовки заявок ТАІЕХ із врахуванням пропозицій та рекомендацій від Представництва ЄС в Україні, які були надані листом від 21 грудня 2018 року ARES (2018) 6618842. Органи державної влади поінформовані про необхідність перевірки дублювання запитуваної допомоги в рамках ТАІЕХ із уже існуючими проектами, які фінансуються ЄС, а також про можливість подання позапланових заявок ТАІЕХ.</w:t>
      </w:r>
    </w:p>
    <w:p w:rsidR="0086108E" w:rsidRPr="0086108E" w:rsidRDefault="0086108E" w:rsidP="0086108E">
      <w:pPr>
        <w:spacing w:after="120"/>
        <w:jc w:val="both"/>
        <w:rPr>
          <w:rFonts w:ascii="Times New Roman" w:hAnsi="Times New Roman" w:cs="Times New Roman"/>
          <w:sz w:val="25"/>
          <w:szCs w:val="25"/>
        </w:rPr>
      </w:pPr>
      <w:r w:rsidRPr="0086108E">
        <w:rPr>
          <w:rFonts w:ascii="Times New Roman" w:hAnsi="Times New Roman" w:cs="Times New Roman"/>
          <w:sz w:val="25"/>
          <w:szCs w:val="25"/>
        </w:rPr>
        <w:t xml:space="preserve">Так, наразі призупинено подання заявок ТАІЕХ від Державної служби статистики України, Національного банку України та Національної комісії, що здійснює державне регулювання у сферах енергетики та комунальних послуг, які протягом першого півріччя 2019 року будуть реалізовувати схвалені у 2018 році заявки ТАІЕХ. </w:t>
      </w:r>
    </w:p>
    <w:p w:rsidR="0086108E" w:rsidRPr="0086108E" w:rsidRDefault="0086108E" w:rsidP="0086108E">
      <w:pPr>
        <w:spacing w:after="120"/>
        <w:jc w:val="both"/>
        <w:rPr>
          <w:rFonts w:ascii="Times New Roman" w:hAnsi="Times New Roman" w:cs="Times New Roman"/>
          <w:sz w:val="25"/>
          <w:szCs w:val="25"/>
        </w:rPr>
      </w:pPr>
      <w:r w:rsidRPr="0086108E">
        <w:rPr>
          <w:rFonts w:ascii="Times New Roman" w:hAnsi="Times New Roman" w:cs="Times New Roman"/>
          <w:sz w:val="25"/>
          <w:szCs w:val="25"/>
        </w:rPr>
        <w:t xml:space="preserve">Також варто зазначити, що НАДС є </w:t>
      </w:r>
      <w:proofErr w:type="spellStart"/>
      <w:r w:rsidRPr="0086108E">
        <w:rPr>
          <w:rFonts w:ascii="Times New Roman" w:hAnsi="Times New Roman" w:cs="Times New Roman"/>
          <w:sz w:val="25"/>
          <w:szCs w:val="25"/>
        </w:rPr>
        <w:t>бенефіціаром</w:t>
      </w:r>
      <w:proofErr w:type="spellEnd"/>
      <w:r w:rsidRPr="0086108E">
        <w:rPr>
          <w:rFonts w:ascii="Times New Roman" w:hAnsi="Times New Roman" w:cs="Times New Roman"/>
          <w:sz w:val="25"/>
          <w:szCs w:val="25"/>
        </w:rPr>
        <w:t xml:space="preserve"> проекту </w:t>
      </w:r>
      <w:r w:rsidRPr="0086108E">
        <w:rPr>
          <w:rFonts w:ascii="Times New Roman" w:hAnsi="Times New Roman" w:cs="Times New Roman"/>
          <w:b/>
          <w:sz w:val="25"/>
          <w:szCs w:val="25"/>
        </w:rPr>
        <w:t>«Сприяння впровадженню заходів ТАІЕХ: забезпечення логістичних послуг та реалізація завдань із фінансового управління»</w:t>
      </w:r>
      <w:r w:rsidRPr="0086108E">
        <w:rPr>
          <w:rFonts w:ascii="Times New Roman" w:hAnsi="Times New Roman" w:cs="Times New Roman"/>
          <w:sz w:val="25"/>
          <w:szCs w:val="25"/>
        </w:rPr>
        <w:t xml:space="preserve"> (терміни реалізації проекту: 01 серпня 2016 року – 31 липня 2020 року).</w:t>
      </w:r>
    </w:p>
    <w:p w:rsidR="0086108E" w:rsidRPr="0086108E" w:rsidRDefault="0086108E" w:rsidP="0086108E">
      <w:pPr>
        <w:spacing w:after="120"/>
        <w:rPr>
          <w:rFonts w:ascii="Times New Roman" w:hAnsi="Times New Roman" w:cs="Times New Roman"/>
          <w:sz w:val="16"/>
          <w:szCs w:val="20"/>
          <w:highlight w:val="lightGray"/>
        </w:rPr>
      </w:pPr>
    </w:p>
    <w:p w:rsidR="0086108E" w:rsidRPr="0086108E" w:rsidRDefault="0086108E" w:rsidP="0086108E">
      <w:pPr>
        <w:spacing w:after="120"/>
        <w:rPr>
          <w:rFonts w:ascii="Times New Roman" w:hAnsi="Times New Roman" w:cs="Times New Roman"/>
          <w:sz w:val="16"/>
          <w:szCs w:val="20"/>
          <w:highlight w:val="lightGray"/>
        </w:rPr>
      </w:pPr>
    </w:p>
    <w:p w:rsidR="0086108E" w:rsidRPr="0086108E" w:rsidRDefault="0086108E" w:rsidP="0086108E">
      <w:pPr>
        <w:spacing w:after="120"/>
        <w:rPr>
          <w:rFonts w:ascii="Times New Roman" w:hAnsi="Times New Roman" w:cs="Times New Roman"/>
          <w:b/>
          <w:color w:val="000000" w:themeColor="text1"/>
          <w:szCs w:val="25"/>
        </w:rPr>
      </w:pPr>
    </w:p>
    <w:p w:rsidR="0086108E" w:rsidRPr="0086108E" w:rsidRDefault="0086108E" w:rsidP="0086108E">
      <w:pPr>
        <w:rPr>
          <w:rFonts w:ascii="Times New Roman" w:hAnsi="Times New Roman" w:cs="Times New Roman"/>
        </w:rPr>
      </w:pPr>
    </w:p>
    <w:p w:rsidR="006F1A4E" w:rsidRPr="0086108E" w:rsidRDefault="006F1A4E">
      <w:pPr>
        <w:rPr>
          <w:rFonts w:ascii="Times New Roman" w:hAnsi="Times New Roman" w:cs="Times New Roman"/>
        </w:rPr>
      </w:pPr>
    </w:p>
    <w:sectPr w:rsidR="006F1A4E" w:rsidRPr="0086108E" w:rsidSect="0086108E">
      <w:pgSz w:w="11906" w:h="16838"/>
      <w:pgMar w:top="426" w:right="707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632E7"/>
    <w:multiLevelType w:val="hybridMultilevel"/>
    <w:tmpl w:val="14B2686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52A4C"/>
    <w:multiLevelType w:val="hybridMultilevel"/>
    <w:tmpl w:val="A5121F1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A665A4"/>
    <w:multiLevelType w:val="multilevel"/>
    <w:tmpl w:val="3A7E6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8C6"/>
    <w:rsid w:val="00014BA1"/>
    <w:rsid w:val="00087B95"/>
    <w:rsid w:val="000D4608"/>
    <w:rsid w:val="000F5739"/>
    <w:rsid w:val="00453E4B"/>
    <w:rsid w:val="004912B1"/>
    <w:rsid w:val="00574646"/>
    <w:rsid w:val="006F1A4E"/>
    <w:rsid w:val="00844734"/>
    <w:rsid w:val="0086108E"/>
    <w:rsid w:val="008E0F37"/>
    <w:rsid w:val="00993925"/>
    <w:rsid w:val="00A01ABA"/>
    <w:rsid w:val="00AA0AB8"/>
    <w:rsid w:val="00BB72C8"/>
    <w:rsid w:val="00BF7C2F"/>
    <w:rsid w:val="00C57619"/>
    <w:rsid w:val="00D97A6B"/>
    <w:rsid w:val="00DB37B2"/>
    <w:rsid w:val="00DB7D2A"/>
    <w:rsid w:val="00E2638F"/>
    <w:rsid w:val="00F44F76"/>
    <w:rsid w:val="00F81C7B"/>
    <w:rsid w:val="00FB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08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0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1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0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08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0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1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dell-store\PAO\&#1057;&#1077;&#1082;&#1090;&#1086;&#1088;%20&#1082;&#1086;&#1086;&#1088;&#1076;&#1080;&#1085;&#1072;&#1094;&#1110;&#1111;%20TAIEX\TAIEX%202015-2019\4.%20&#1043;&#1088;&#1072;&#1092;&#1110;&#1082;&#1080;%20&#1058;&#1040;&#1030;&#1045;&#1061;%20(18%20&#1075;&#1088;&#1091;&#1076;&#1085;&#1103;%202018)\eng\2019\TAIEX%20Activities%20per%20type%20of%20events_2019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dell-store\PAO\&#1057;&#1077;&#1082;&#1090;&#1086;&#1088;%20&#1082;&#1086;&#1086;&#1088;&#1076;&#1080;&#1085;&#1072;&#1094;&#1110;&#1111;%20TAIEX\TAIEX%202015-2019\4.%20&#1043;&#1088;&#1072;&#1092;&#1110;&#1082;&#1080;%20&#1058;&#1040;&#1030;&#1045;&#1061;%20(18%20&#1075;&#1088;&#1091;&#1076;&#1085;&#1103;%202018)\eng\2019\&#1058;&#1040;&#1030;&#1045;&#1061;%20Activities_2019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\\dell-store\PAO\&#1057;&#1077;&#1082;&#1090;&#1086;&#1088;%20&#1082;&#1086;&#1086;&#1088;&#1076;&#1080;&#1085;&#1072;&#1094;&#1110;&#1111;%20TAIEX\TAIEX%202015-2019\4.%20&#1043;&#1088;&#1072;&#1092;&#1110;&#1082;&#1080;%20&#1058;&#1040;&#1030;&#1045;&#1061;%20(18%20&#1075;&#1088;&#1091;&#1076;&#1085;&#1103;%202018)\ukr\&#1047;&#1072;&#1093;&#1086;&#1076;&#1080;%20TAIEX%20&#1079;&#1072;%20&#1089;&#1077;&#1082;&#1090;&#1086;&#1088;&#1072;&#1084;&#1080;%202006%20-2019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4.8500467876298074E-2"/>
          <c:y val="2.5456990456995385E-2"/>
          <c:w val="0.75760377241422105"/>
          <c:h val="0.6601841914512240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Лист1!$B$41</c:f>
              <c:strCache>
                <c:ptCount val="1"/>
                <c:pt idx="0">
                  <c:v>навчальна поїздка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Лист1!$A$42:$A$55</c:f>
              <c:strCache>
                <c:ptCount val="14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  <c:pt idx="11">
                  <c:v>2017</c:v>
                </c:pt>
                <c:pt idx="12">
                  <c:v>2018</c:v>
                </c:pt>
                <c:pt idx="13">
                  <c:v>станом на 01.07.2019 </c:v>
                </c:pt>
              </c:strCache>
            </c:strRef>
          </c:cat>
          <c:val>
            <c:numRef>
              <c:f>Лист1!$B$42:$B$55</c:f>
              <c:numCache>
                <c:formatCode>General</c:formatCode>
                <c:ptCount val="14"/>
                <c:pt idx="0">
                  <c:v>0</c:v>
                </c:pt>
                <c:pt idx="1">
                  <c:v>4</c:v>
                </c:pt>
                <c:pt idx="2">
                  <c:v>4</c:v>
                </c:pt>
                <c:pt idx="3">
                  <c:v>8</c:v>
                </c:pt>
                <c:pt idx="4">
                  <c:v>16</c:v>
                </c:pt>
                <c:pt idx="5">
                  <c:v>25</c:v>
                </c:pt>
                <c:pt idx="6">
                  <c:v>22</c:v>
                </c:pt>
                <c:pt idx="7">
                  <c:v>21</c:v>
                </c:pt>
                <c:pt idx="8">
                  <c:v>28</c:v>
                </c:pt>
                <c:pt idx="9">
                  <c:v>28</c:v>
                </c:pt>
                <c:pt idx="10">
                  <c:v>27</c:v>
                </c:pt>
                <c:pt idx="11">
                  <c:v>14</c:v>
                </c:pt>
                <c:pt idx="12">
                  <c:v>21</c:v>
                </c:pt>
                <c:pt idx="13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Лист1!$C$41</c:f>
              <c:strCache>
                <c:ptCount val="1"/>
                <c:pt idx="0">
                  <c:v>експертна місія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Лист1!$A$42:$A$55</c:f>
              <c:strCache>
                <c:ptCount val="14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  <c:pt idx="11">
                  <c:v>2017</c:v>
                </c:pt>
                <c:pt idx="12">
                  <c:v>2018</c:v>
                </c:pt>
                <c:pt idx="13">
                  <c:v>станом на 01.07.2019 </c:v>
                </c:pt>
              </c:strCache>
            </c:strRef>
          </c:cat>
          <c:val>
            <c:numRef>
              <c:f>Лист1!$C$42:$C$55</c:f>
              <c:numCache>
                <c:formatCode>General</c:formatCode>
                <c:ptCount val="14"/>
                <c:pt idx="0">
                  <c:v>0</c:v>
                </c:pt>
                <c:pt idx="1">
                  <c:v>3</c:v>
                </c:pt>
                <c:pt idx="2">
                  <c:v>4</c:v>
                </c:pt>
                <c:pt idx="3">
                  <c:v>7</c:v>
                </c:pt>
                <c:pt idx="4">
                  <c:v>14</c:v>
                </c:pt>
                <c:pt idx="5">
                  <c:v>17</c:v>
                </c:pt>
                <c:pt idx="6">
                  <c:v>14</c:v>
                </c:pt>
                <c:pt idx="7">
                  <c:v>6</c:v>
                </c:pt>
                <c:pt idx="8">
                  <c:v>10</c:v>
                </c:pt>
                <c:pt idx="9">
                  <c:v>40</c:v>
                </c:pt>
                <c:pt idx="10">
                  <c:v>23</c:v>
                </c:pt>
                <c:pt idx="11">
                  <c:v>13</c:v>
                </c:pt>
                <c:pt idx="12">
                  <c:v>18</c:v>
                </c:pt>
                <c:pt idx="13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Лист1!$D$41</c:f>
              <c:strCache>
                <c:ptCount val="1"/>
                <c:pt idx="0">
                  <c:v>семінар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Лист1!$A$42:$A$55</c:f>
              <c:strCache>
                <c:ptCount val="14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  <c:pt idx="11">
                  <c:v>2017</c:v>
                </c:pt>
                <c:pt idx="12">
                  <c:v>2018</c:v>
                </c:pt>
                <c:pt idx="13">
                  <c:v>станом на 01.07.2019 </c:v>
                </c:pt>
              </c:strCache>
            </c:strRef>
          </c:cat>
          <c:val>
            <c:numRef>
              <c:f>Лист1!$D$42:$D$55</c:f>
              <c:numCache>
                <c:formatCode>General</c:formatCode>
                <c:ptCount val="14"/>
                <c:pt idx="0">
                  <c:v>10</c:v>
                </c:pt>
                <c:pt idx="1">
                  <c:v>26</c:v>
                </c:pt>
                <c:pt idx="2">
                  <c:v>22</c:v>
                </c:pt>
                <c:pt idx="3">
                  <c:v>34</c:v>
                </c:pt>
                <c:pt idx="4">
                  <c:v>63</c:v>
                </c:pt>
                <c:pt idx="5">
                  <c:v>40</c:v>
                </c:pt>
                <c:pt idx="6">
                  <c:v>34</c:v>
                </c:pt>
                <c:pt idx="7">
                  <c:v>38</c:v>
                </c:pt>
                <c:pt idx="8">
                  <c:v>12</c:v>
                </c:pt>
                <c:pt idx="9">
                  <c:v>38</c:v>
                </c:pt>
                <c:pt idx="10">
                  <c:v>34</c:v>
                </c:pt>
                <c:pt idx="11">
                  <c:v>24</c:v>
                </c:pt>
                <c:pt idx="12">
                  <c:v>21</c:v>
                </c:pt>
                <c:pt idx="13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781952"/>
        <c:axId val="28800128"/>
      </c:barChart>
      <c:catAx>
        <c:axId val="28781952"/>
        <c:scaling>
          <c:orientation val="minMax"/>
        </c:scaling>
        <c:delete val="0"/>
        <c:axPos val="b"/>
        <c:majorTickMark val="out"/>
        <c:minorTickMark val="none"/>
        <c:tickLblPos val="nextTo"/>
        <c:crossAx val="28800128"/>
        <c:crosses val="autoZero"/>
        <c:auto val="1"/>
        <c:lblAlgn val="ctr"/>
        <c:lblOffset val="100"/>
        <c:noMultiLvlLbl val="0"/>
      </c:catAx>
      <c:valAx>
        <c:axId val="288001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7819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010905013188617"/>
          <c:y val="0.28169237762293603"/>
          <c:w val="0.1683594205179503"/>
          <c:h val="0.3201832510048432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5.8306653406713503E-2"/>
          <c:y val="3.9355670290128118E-2"/>
          <c:w val="0.70577365070296327"/>
          <c:h val="0.6639559088770060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Лист1!$B$68</c:f>
              <c:strCache>
                <c:ptCount val="1"/>
                <c:pt idx="0">
                  <c:v>заходи, ініційовані ЄК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Лист1!$A$69:$A$82</c:f>
              <c:strCache>
                <c:ptCount val="14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  <c:pt idx="11">
                  <c:v>2017</c:v>
                </c:pt>
                <c:pt idx="12">
                  <c:v>2018</c:v>
                </c:pt>
                <c:pt idx="13">
                  <c:v>станом на 01.07.2019 </c:v>
                </c:pt>
              </c:strCache>
            </c:strRef>
          </c:cat>
          <c:val>
            <c:numRef>
              <c:f>Лист1!$B$69:$B$82</c:f>
              <c:numCache>
                <c:formatCode>General</c:formatCode>
                <c:ptCount val="14"/>
                <c:pt idx="0">
                  <c:v>8</c:v>
                </c:pt>
                <c:pt idx="1">
                  <c:v>18</c:v>
                </c:pt>
                <c:pt idx="2">
                  <c:v>15</c:v>
                </c:pt>
                <c:pt idx="3">
                  <c:v>16</c:v>
                </c:pt>
                <c:pt idx="4">
                  <c:v>17</c:v>
                </c:pt>
                <c:pt idx="5">
                  <c:v>10</c:v>
                </c:pt>
                <c:pt idx="6">
                  <c:v>8</c:v>
                </c:pt>
                <c:pt idx="7">
                  <c:v>18</c:v>
                </c:pt>
                <c:pt idx="8">
                  <c:v>0</c:v>
                </c:pt>
                <c:pt idx="9">
                  <c:v>10</c:v>
                </c:pt>
                <c:pt idx="10">
                  <c:v>12</c:v>
                </c:pt>
                <c:pt idx="11">
                  <c:v>9</c:v>
                </c:pt>
                <c:pt idx="12">
                  <c:v>7</c:v>
                </c:pt>
                <c:pt idx="13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Лист1!$C$68</c:f>
              <c:strCache>
                <c:ptCount val="1"/>
                <c:pt idx="0">
                  <c:v>заходи, ініційовані органом-бенефіціаром</c:v>
                </c:pt>
              </c:strCache>
            </c:strRef>
          </c:tx>
          <c:spPr>
            <a:pattFill prst="wdUpDiag">
              <a:fgClr>
                <a:schemeClr val="accent1"/>
              </a:fgClr>
              <a:bgClr>
                <a:schemeClr val="bg1"/>
              </a:bgClr>
            </a:patt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Лист1!$A$69:$A$82</c:f>
              <c:strCache>
                <c:ptCount val="14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  <c:pt idx="11">
                  <c:v>2017</c:v>
                </c:pt>
                <c:pt idx="12">
                  <c:v>2018</c:v>
                </c:pt>
                <c:pt idx="13">
                  <c:v>станом на 01.07.2019 </c:v>
                </c:pt>
              </c:strCache>
            </c:strRef>
          </c:cat>
          <c:val>
            <c:numRef>
              <c:f>Лист1!$C$69:$C$82</c:f>
              <c:numCache>
                <c:formatCode>General</c:formatCode>
                <c:ptCount val="14"/>
                <c:pt idx="0">
                  <c:v>2</c:v>
                </c:pt>
                <c:pt idx="1">
                  <c:v>15</c:v>
                </c:pt>
                <c:pt idx="2">
                  <c:v>15</c:v>
                </c:pt>
                <c:pt idx="3">
                  <c:v>33</c:v>
                </c:pt>
                <c:pt idx="4">
                  <c:v>76</c:v>
                </c:pt>
                <c:pt idx="5">
                  <c:v>72</c:v>
                </c:pt>
                <c:pt idx="6">
                  <c:v>62</c:v>
                </c:pt>
                <c:pt idx="7">
                  <c:v>47</c:v>
                </c:pt>
                <c:pt idx="8">
                  <c:v>50</c:v>
                </c:pt>
                <c:pt idx="9">
                  <c:v>96</c:v>
                </c:pt>
                <c:pt idx="10">
                  <c:v>72</c:v>
                </c:pt>
                <c:pt idx="11">
                  <c:v>42</c:v>
                </c:pt>
                <c:pt idx="12">
                  <c:v>60</c:v>
                </c:pt>
                <c:pt idx="13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871104"/>
        <c:axId val="27874816"/>
      </c:barChart>
      <c:catAx>
        <c:axId val="27871104"/>
        <c:scaling>
          <c:orientation val="minMax"/>
        </c:scaling>
        <c:delete val="0"/>
        <c:axPos val="b"/>
        <c:majorTickMark val="out"/>
        <c:minorTickMark val="none"/>
        <c:tickLblPos val="nextTo"/>
        <c:crossAx val="27874816"/>
        <c:crosses val="autoZero"/>
        <c:auto val="1"/>
        <c:lblAlgn val="ctr"/>
        <c:lblOffset val="100"/>
        <c:noMultiLvlLbl val="0"/>
      </c:catAx>
      <c:valAx>
        <c:axId val="278748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78711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666094544730414"/>
          <c:y val="0.31862987270714604"/>
          <c:w val="0.20204873388388217"/>
          <c:h val="0.2883004787926186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7545987677361959E-2"/>
          <c:y val="0.11428995037697884"/>
          <c:w val="0.83442054233898899"/>
          <c:h val="0.7936158858915191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pattFill prst="ltUpDiag">
                <a:fgClr>
                  <a:schemeClr val="accent2"/>
                </a:fgClr>
                <a:bgClr>
                  <a:schemeClr val="bg1"/>
                </a:bgClr>
              </a:patt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7A5-4A05-9587-3EC5D42199A7}"/>
              </c:ext>
            </c:extLst>
          </c:dPt>
          <c:dPt>
            <c:idx val="1"/>
            <c:bubble3D val="0"/>
            <c:spPr>
              <a:pattFill prst="pct75">
                <a:fgClr>
                  <a:schemeClr val="tx2"/>
                </a:fgClr>
                <a:bgClr>
                  <a:schemeClr val="bg1"/>
                </a:bgClr>
              </a:patt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7A5-4A05-9587-3EC5D42199A7}"/>
              </c:ext>
            </c:extLst>
          </c:dPt>
          <c:dPt>
            <c:idx val="2"/>
            <c:bubble3D val="0"/>
            <c:spPr>
              <a:pattFill prst="narHorz">
                <a:fgClr>
                  <a:schemeClr val="tx2"/>
                </a:fgClr>
                <a:bgClr>
                  <a:schemeClr val="bg1"/>
                </a:bgClr>
              </a:patt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7A5-4A05-9587-3EC5D42199A7}"/>
              </c:ext>
            </c:extLst>
          </c:dPt>
          <c:dPt>
            <c:idx val="3"/>
            <c:bubble3D val="0"/>
            <c:spPr>
              <a:pattFill prst="pct5">
                <a:fgClr>
                  <a:schemeClr val="accent2"/>
                </a:fgClr>
                <a:bgClr>
                  <a:schemeClr val="bg1"/>
                </a:bgClr>
              </a:patt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57A5-4A05-9587-3EC5D42199A7}"/>
              </c:ext>
            </c:extLst>
          </c:dPt>
          <c:dLbls>
            <c:dLbl>
              <c:idx val="0"/>
              <c:layout>
                <c:manualLayout>
                  <c:x val="5.9894936641095874E-2"/>
                  <c:y val="-5.5255290944029027E-2"/>
                </c:manualLayout>
              </c:layout>
              <c:tx>
                <c:rich>
                  <a:bodyPr/>
                  <a:lstStyle/>
                  <a:p>
                    <a:r>
                      <a:rPr lang="uk-UA" sz="1050"/>
                      <a:t>юстиція та внутрішні справи;  201
</a:t>
                    </a:r>
                    <a:endParaRPr lang="uk-UA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57A5-4A05-9587-3EC5D42199A7}"/>
                </c:ext>
              </c:extLst>
            </c:dLbl>
            <c:dLbl>
              <c:idx val="1"/>
              <c:layout>
                <c:manualLayout>
                  <c:x val="0.22238659230096239"/>
                  <c:y val="-4.2291484397783609E-2"/>
                </c:manualLayout>
              </c:layout>
              <c:tx>
                <c:rich>
                  <a:bodyPr/>
                  <a:lstStyle/>
                  <a:p>
                    <a:r>
                      <a:rPr lang="uk-UA" sz="1050"/>
                      <a:t>внутрішній ринок;
360</a:t>
                    </a:r>
                    <a:endParaRPr lang="uk-UA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57A5-4A05-9587-3EC5D42199A7}"/>
                </c:ext>
              </c:extLst>
            </c:dLbl>
            <c:dLbl>
              <c:idx val="2"/>
              <c:layout>
                <c:manualLayout>
                  <c:x val="-1.4781307334341447E-2"/>
                  <c:y val="0.36246089050516445"/>
                </c:manualLayout>
              </c:layout>
              <c:tx>
                <c:rich>
                  <a:bodyPr/>
                  <a:lstStyle/>
                  <a:p>
                    <a:r>
                      <a:rPr lang="uk-UA" sz="1050"/>
                      <a:t>навколишнє середовище, телекомунікації та транспорт;</a:t>
                    </a:r>
                    <a:r>
                      <a:rPr lang="uk-UA" sz="1050" baseline="0"/>
                      <a:t> </a:t>
                    </a:r>
                    <a:r>
                      <a:rPr lang="uk-UA" sz="1050"/>
                      <a:t> 
152</a:t>
                    </a:r>
                    <a:endParaRPr lang="uk-UA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57A5-4A05-9587-3EC5D42199A7}"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uk-UA" sz="1050"/>
                      <a:t>сільське господарство та безпека харчових продуктів;
99 </a:t>
                    </a:r>
                    <a:endParaRPr lang="uk-UA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57A5-4A05-9587-3EC5D42199A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юстиція та внутрішні справи </c:v>
                </c:pt>
                <c:pt idx="1">
                  <c:v>внутрішній ринок </c:v>
                </c:pt>
                <c:pt idx="2">
                  <c:v>навколишнє середовище, телекомунікації та транспорт </c:v>
                </c:pt>
                <c:pt idx="3">
                  <c:v>сільське господарство та безпека харчових продуктів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201</c:v>
                </c:pt>
                <c:pt idx="1">
                  <c:v>359</c:v>
                </c:pt>
                <c:pt idx="2">
                  <c:v>151</c:v>
                </c:pt>
                <c:pt idx="3">
                  <c:v>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57A5-4A05-9587-3EC5D42199A7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Анастасія Підгорна</dc:creator>
  <cp:lastModifiedBy>Анастасія Підгорна</cp:lastModifiedBy>
  <cp:revision>7</cp:revision>
  <cp:lastPrinted>2019-06-13T08:13:00Z</cp:lastPrinted>
  <dcterms:created xsi:type="dcterms:W3CDTF">2019-06-13T08:11:00Z</dcterms:created>
  <dcterms:modified xsi:type="dcterms:W3CDTF">2019-07-01T06:57:00Z</dcterms:modified>
</cp:coreProperties>
</file>